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FC" w:rsidRDefault="000B0266" w:rsidP="000620C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17</w:t>
      </w:r>
      <w:r w:rsidR="00A35EAE">
        <w:rPr>
          <w:rFonts w:ascii="Arial" w:eastAsia="Calibri" w:hAnsi="Arial" w:cs="Arial"/>
          <w:b/>
          <w:sz w:val="32"/>
          <w:szCs w:val="32"/>
        </w:rPr>
        <w:t>.02.2023 г. № 09</w:t>
      </w:r>
    </w:p>
    <w:p w:rsidR="00A97378" w:rsidRPr="00083BF9" w:rsidRDefault="00A97378" w:rsidP="00A97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97378" w:rsidRPr="00083BF9" w:rsidRDefault="00A97378" w:rsidP="00A97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97378" w:rsidRPr="00083BF9" w:rsidRDefault="00A97378" w:rsidP="00A97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БРАТСКИЙ РАЙОН</w:t>
      </w:r>
    </w:p>
    <w:p w:rsidR="00A97378" w:rsidRPr="00083BF9" w:rsidRDefault="00A97378" w:rsidP="00A97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КАЛТУКСКОЕ МУНИЦИПАЛЬНОЕ ОБРАЗОВАНИЕ</w:t>
      </w:r>
    </w:p>
    <w:p w:rsidR="00A97378" w:rsidRPr="00083BF9" w:rsidRDefault="00A97378" w:rsidP="00A973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300FC" w:rsidRDefault="00A97378" w:rsidP="00A97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F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97378" w:rsidRPr="00E300FC" w:rsidRDefault="00A97378" w:rsidP="00A97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E300FC" w:rsidRPr="00E300FC" w:rsidRDefault="00E300FC" w:rsidP="00E30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outlineLvl w:val="0"/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</w:pPr>
      <w:r w:rsidRPr="00E300FC"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  <w:t xml:space="preserve">«О НАЗНАЧЕНИИ ПУБЛИЧНЫХ СЛУШАНИЙ ПО ПРОЕКТУ </w:t>
      </w:r>
      <w:r w:rsidR="00A3323A"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  <w:t>«</w:t>
      </w:r>
      <w:r w:rsidR="00A35EAE" w:rsidRPr="00A35EAE"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  <w:t>О ВНЕСЕНИИ ИЗМЕНЕНИЙ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</w:t>
      </w:r>
      <w:r w:rsidR="00916CBF">
        <w:rPr>
          <w:rFonts w:ascii="Arial" w:eastAsia="Times New Roman" w:hAnsi="Arial" w:cs="Times New Roman"/>
          <w:b/>
          <w:bCs/>
          <w:caps/>
          <w:color w:val="000000"/>
          <w:sz w:val="32"/>
          <w:szCs w:val="32"/>
          <w:lang w:eastAsia="ru-RU"/>
        </w:rPr>
        <w:t>»</w:t>
      </w:r>
    </w:p>
    <w:p w:rsidR="00E300FC" w:rsidRPr="00E300FC" w:rsidRDefault="00E300FC" w:rsidP="00E30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65"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E300FC" w:rsidRPr="00E300FC" w:rsidRDefault="00E300FC" w:rsidP="00E30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300F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целях реализации прав граждан на осуществление местного </w:t>
      </w:r>
      <w:r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самоуправления, в соответствии со ст. 28 Федерального Закона от 06.10,2003 г, № 131-ФЗ «Об общих принципах организации местного самоуправления в </w:t>
      </w:r>
      <w:r w:rsidRPr="00E300FC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Российской </w:t>
      </w:r>
      <w:r w:rsidR="00A3323A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Федерации», </w:t>
      </w:r>
      <w:r w:rsidR="00A3323A"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Положением о публичных слушаниях, утвержденным </w:t>
      </w:r>
      <w:r w:rsidR="00A3323A" w:rsidRPr="00E300FC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решением Думы Калтукского сельского поселения от 16.11.2005 г. № 4, в редакции решения Думы № 61 от 14.06.2007г.»</w:t>
      </w:r>
      <w:r w:rsidR="00A3323A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, руководствуясь </w:t>
      </w:r>
      <w:r w:rsidR="00A3323A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ст. ст. 16,</w:t>
      </w:r>
      <w:r w:rsidRPr="00E300FC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47 Устава Калтукского муниципального образования</w:t>
      </w:r>
      <w:proofErr w:type="gramEnd"/>
      <w:r w:rsidRPr="00E300FC">
        <w:rPr>
          <w:rFonts w:ascii="Arial" w:eastAsia="Times New Roman" w:hAnsi="Arial" w:cs="Arial"/>
          <w:spacing w:val="-3"/>
          <w:sz w:val="24"/>
          <w:szCs w:val="24"/>
          <w:lang w:eastAsia="ru-RU"/>
        </w:rPr>
        <w:t>,</w:t>
      </w:r>
      <w:r w:rsidR="00A35EA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администрация Калтукского сельского поселения</w:t>
      </w:r>
      <w:r w:rsidRPr="00E300FC">
        <w:rPr>
          <w:rFonts w:ascii="Arial" w:eastAsia="Times New Roman" w:hAnsi="Arial" w:cs="Arial"/>
          <w:spacing w:val="-3"/>
          <w:sz w:val="24"/>
          <w:szCs w:val="24"/>
          <w:lang w:eastAsia="ru-RU"/>
        </w:rPr>
        <w:t>-</w:t>
      </w:r>
    </w:p>
    <w:p w:rsidR="00E300FC" w:rsidRPr="00E300FC" w:rsidRDefault="00E300FC" w:rsidP="00E30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65" w:hanging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0FC" w:rsidRPr="00E300FC" w:rsidRDefault="00A35EAE" w:rsidP="00A33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65" w:hanging="2"/>
        <w:jc w:val="center"/>
        <w:rPr>
          <w:rFonts w:ascii="Arial" w:eastAsia="Times New Roman" w:hAnsi="Arial" w:cs="Arial"/>
          <w:b/>
          <w:bCs/>
          <w:spacing w:val="2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pacing w:val="24"/>
          <w:sz w:val="30"/>
          <w:szCs w:val="30"/>
          <w:lang w:eastAsia="ru-RU"/>
        </w:rPr>
        <w:t>ПОСТАНОВЛЯЕТ</w:t>
      </w:r>
      <w:r w:rsidR="00E300FC" w:rsidRPr="00E300FC">
        <w:rPr>
          <w:rFonts w:ascii="Arial" w:eastAsia="Times New Roman" w:hAnsi="Arial" w:cs="Arial"/>
          <w:b/>
          <w:bCs/>
          <w:spacing w:val="24"/>
          <w:sz w:val="30"/>
          <w:szCs w:val="30"/>
          <w:lang w:eastAsia="ru-RU"/>
        </w:rPr>
        <w:t>:</w:t>
      </w:r>
    </w:p>
    <w:p w:rsidR="00E300FC" w:rsidRPr="00E300FC" w:rsidRDefault="00E300FC" w:rsidP="00E30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65" w:hanging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0FC" w:rsidRPr="00E300FC" w:rsidRDefault="00E300FC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26" w:firstLine="709"/>
        <w:jc w:val="both"/>
        <w:rPr>
          <w:rFonts w:ascii="Arial" w:eastAsia="Times New Roman" w:hAnsi="Arial" w:cs="Arial"/>
          <w:spacing w:val="-29"/>
          <w:sz w:val="24"/>
          <w:szCs w:val="24"/>
          <w:lang w:eastAsia="ru-RU"/>
        </w:rPr>
      </w:pPr>
      <w:r w:rsidRPr="00E300F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1. Провести публичные слушания по проекту </w:t>
      </w:r>
      <w:r w:rsidR="00A3323A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A35EAE"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 </w:t>
      </w:r>
      <w:r w:rsid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внесении изменений в С</w:t>
      </w:r>
      <w:r w:rsidR="00A35EAE"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тратегию социально – экономического раз</w:t>
      </w:r>
      <w:r w:rsid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вития К</w:t>
      </w:r>
      <w:r w:rsidR="00A35EAE"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алтукского муниципального образования на 2019-20</w:t>
      </w:r>
      <w:r w:rsid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30 годы, утвержденную решением Думы К</w:t>
      </w:r>
      <w:r w:rsidR="00A35EAE"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алтукского сельского поселения от 29.11.2018 г. № 59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B0266">
        <w:rPr>
          <w:rFonts w:ascii="Arial" w:eastAsia="Times New Roman" w:hAnsi="Arial" w:cs="Arial"/>
          <w:sz w:val="24"/>
          <w:szCs w:val="24"/>
          <w:lang w:eastAsia="ru-RU"/>
        </w:rPr>
        <w:t>20 марта 2023</w:t>
      </w:r>
      <w:r w:rsidRPr="00E300FC">
        <w:rPr>
          <w:rFonts w:ascii="Arial" w:eastAsia="Times New Roman" w:hAnsi="Arial" w:cs="Arial"/>
          <w:sz w:val="24"/>
          <w:szCs w:val="24"/>
          <w:lang w:eastAsia="ru-RU"/>
        </w:rPr>
        <w:t xml:space="preserve"> года в </w:t>
      </w:r>
      <w:r w:rsidRPr="00E300FC">
        <w:rPr>
          <w:rFonts w:ascii="Arial" w:eastAsia="Times New Roman" w:hAnsi="Arial" w:cs="Arial"/>
          <w:spacing w:val="44"/>
          <w:sz w:val="24"/>
          <w:szCs w:val="24"/>
          <w:lang w:eastAsia="ru-RU"/>
        </w:rPr>
        <w:t>15-00</w:t>
      </w:r>
      <w:r w:rsidRPr="00E300FC">
        <w:rPr>
          <w:rFonts w:ascii="Arial" w:eastAsia="Times New Roman" w:hAnsi="Arial" w:cs="Arial"/>
          <w:sz w:val="24"/>
          <w:szCs w:val="24"/>
          <w:lang w:eastAsia="ru-RU"/>
        </w:rPr>
        <w:t xml:space="preserve"> часов в здании МКУК «ККДЦ Братского района» по адресу: с.</w:t>
      </w:r>
      <w:r w:rsidR="00330D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00FC">
        <w:rPr>
          <w:rFonts w:ascii="Arial" w:eastAsia="Times New Roman" w:hAnsi="Arial" w:cs="Arial"/>
          <w:sz w:val="24"/>
          <w:szCs w:val="24"/>
          <w:lang w:eastAsia="ru-RU"/>
        </w:rPr>
        <w:t>Калтук, ул. Погодаева, д. 12б.</w:t>
      </w:r>
    </w:p>
    <w:p w:rsidR="00E300FC" w:rsidRPr="00E300FC" w:rsidRDefault="00E300FC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5"/>
          <w:sz w:val="24"/>
          <w:szCs w:val="24"/>
          <w:lang w:eastAsia="ru-RU"/>
        </w:rPr>
      </w:pPr>
      <w:r w:rsidRPr="00E300F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2. </w:t>
      </w:r>
      <w:proofErr w:type="gramStart"/>
      <w:r w:rsidRPr="00E300F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Установить срок подачи рекомендаций и предложений граждан по </w:t>
      </w:r>
      <w:r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проекту</w:t>
      </w:r>
      <w:r w:rsidR="00A3323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A3323A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0B0266" w:rsidRPr="000B026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 внесении изменений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» до </w:t>
      </w:r>
      <w:r w:rsidR="000B0266">
        <w:rPr>
          <w:rFonts w:ascii="Arial" w:eastAsia="Times New Roman" w:hAnsi="Arial" w:cs="Arial"/>
          <w:spacing w:val="-1"/>
          <w:sz w:val="24"/>
          <w:szCs w:val="24"/>
          <w:lang w:eastAsia="ru-RU"/>
        </w:rPr>
        <w:t>17 марта 2023</w:t>
      </w:r>
      <w:r w:rsidRPr="00E300F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года по адресу: с. Калтук, ул. Ленина, 39б</w:t>
      </w:r>
      <w:r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администрация Калтукского сельского поселения, кабинет главы поселения.</w:t>
      </w:r>
      <w:proofErr w:type="gramEnd"/>
    </w:p>
    <w:p w:rsidR="00E300FC" w:rsidRPr="00E300FC" w:rsidRDefault="00E300FC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6"/>
          <w:sz w:val="24"/>
          <w:szCs w:val="24"/>
          <w:lang w:eastAsia="ru-RU"/>
        </w:rPr>
      </w:pPr>
      <w:r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3. Ответственной за подготовку и проведение публичных </w:t>
      </w:r>
      <w:r w:rsidRPr="00E300FC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слушаний </w:t>
      </w:r>
      <w:r w:rsidRPr="00E300F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назначить </w:t>
      </w:r>
      <w:r w:rsidR="00A3323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ведущего специалиста администрации К</w:t>
      </w:r>
      <w:r w:rsidR="0024314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алтукского сельского поселения </w:t>
      </w:r>
      <w:r w:rsidR="00A3323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Е.В. </w:t>
      </w:r>
      <w:proofErr w:type="spellStart"/>
      <w:r w:rsid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Панухна</w:t>
      </w:r>
      <w:proofErr w:type="spellEnd"/>
      <w:r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7C0E37" w:rsidRPr="000B0266" w:rsidRDefault="00E300FC" w:rsidP="000B026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7"/>
          <w:sz w:val="24"/>
          <w:szCs w:val="24"/>
          <w:lang w:eastAsia="ru-RU"/>
        </w:rPr>
      </w:pPr>
      <w:r w:rsidRPr="00E300F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4. </w:t>
      </w:r>
      <w:proofErr w:type="gramStart"/>
      <w:r w:rsidRPr="00E300F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Настоящее </w:t>
      </w:r>
      <w:r w:rsidR="00A3323A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постановление</w:t>
      </w:r>
      <w:r w:rsidRPr="00E300F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и проект</w:t>
      </w:r>
      <w:r w:rsidR="00A3323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A3323A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0B0266" w:rsidRPr="000B026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 внесении изменений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</w:t>
      </w:r>
      <w:r w:rsidRPr="00E300FC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A3323A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E300F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подлежат официальному </w:t>
      </w:r>
      <w:r w:rsidRPr="00E300FC">
        <w:rPr>
          <w:rFonts w:ascii="Arial" w:eastAsia="Times New Roman" w:hAnsi="Arial" w:cs="Arial"/>
          <w:spacing w:val="-7"/>
          <w:sz w:val="24"/>
          <w:szCs w:val="24"/>
          <w:lang w:eastAsia="ru-RU"/>
        </w:rPr>
        <w:t>опубликованию в Информационном бюллетене Калтукс</w:t>
      </w:r>
      <w:r w:rsid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кого муниципального образования и размещению </w:t>
      </w:r>
      <w:r w:rsidR="00243144" w:rsidRP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на общедоступном информационном ресурсе стратегического планирования в информационно-телекоммуникационной сети «Интернет» ГАС «Управление», а также </w:t>
      </w:r>
      <w:r w:rsidR="00243144" w:rsidRP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lastRenderedPageBreak/>
        <w:t>на официальном сайте Администрации Калтукского сельского поселения</w:t>
      </w:r>
      <w:proofErr w:type="gramEnd"/>
      <w:r w:rsidR="00243144" w:rsidRP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http://www.калтук</w:t>
      </w:r>
      <w:proofErr w:type="gramStart"/>
      <w:r w:rsidR="00243144" w:rsidRP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t>.р</w:t>
      </w:r>
      <w:proofErr w:type="gramEnd"/>
      <w:r w:rsidR="00243144" w:rsidRPr="00243144">
        <w:rPr>
          <w:rFonts w:ascii="Arial" w:eastAsia="Times New Roman" w:hAnsi="Arial" w:cs="Arial"/>
          <w:spacing w:val="-7"/>
          <w:sz w:val="24"/>
          <w:szCs w:val="24"/>
          <w:lang w:eastAsia="ru-RU"/>
        </w:rPr>
        <w:t>ф/</w:t>
      </w:r>
    </w:p>
    <w:p w:rsidR="00A3323A" w:rsidRPr="00A3323A" w:rsidRDefault="00A3323A" w:rsidP="00A332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5. </w:t>
      </w:r>
      <w:r w:rsidRPr="007F685D">
        <w:rPr>
          <w:rFonts w:ascii="Arial" w:eastAsia="Times New Roman" w:hAnsi="Arial" w:cs="Arial"/>
          <w:sz w:val="24"/>
          <w:szCs w:val="24"/>
        </w:rPr>
        <w:t xml:space="preserve">Направить прилагаемый </w:t>
      </w:r>
      <w:r>
        <w:rPr>
          <w:rFonts w:ascii="Arial" w:eastAsia="Times New Roman" w:hAnsi="Arial" w:cs="Arial"/>
          <w:sz w:val="24"/>
          <w:szCs w:val="24"/>
        </w:rPr>
        <w:t xml:space="preserve">проект </w:t>
      </w: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>«</w:t>
      </w:r>
      <w:r w:rsidR="000B0266" w:rsidRPr="000B026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 внесении изменений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</w:t>
      </w:r>
      <w:r w:rsidRPr="00E300FC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7F685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F685D">
        <w:rPr>
          <w:rFonts w:ascii="Arial" w:eastAsia="Times New Roman" w:hAnsi="Arial" w:cs="Arial"/>
          <w:sz w:val="24"/>
          <w:szCs w:val="24"/>
        </w:rPr>
        <w:t xml:space="preserve">в Думу </w:t>
      </w:r>
      <w:r w:rsidR="00441162">
        <w:rPr>
          <w:rFonts w:ascii="Arial" w:eastAsia="Times New Roman" w:hAnsi="Arial" w:cs="Arial"/>
          <w:sz w:val="24"/>
          <w:szCs w:val="24"/>
        </w:rPr>
        <w:t>Калтукского сельского поселения для утверждения.</w:t>
      </w:r>
    </w:p>
    <w:p w:rsidR="00E300FC" w:rsidRPr="00E300FC" w:rsidRDefault="00A3323A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300FC" w:rsidRPr="00E300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E300FC" w:rsidRPr="00E300FC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E300FC" w:rsidRPr="00E300FC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E300FC" w:rsidRPr="00E300FC" w:rsidRDefault="00E300FC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E300FC" w:rsidRPr="00E300FC" w:rsidRDefault="00E300FC" w:rsidP="00E300F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620CA" w:rsidRPr="00EF311F" w:rsidRDefault="000620CA" w:rsidP="00062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11F">
        <w:rPr>
          <w:rFonts w:ascii="Arial" w:eastAsia="Times New Roman" w:hAnsi="Arial" w:cs="Arial"/>
          <w:b/>
          <w:sz w:val="24"/>
          <w:szCs w:val="24"/>
          <w:lang w:eastAsia="ru-RU"/>
        </w:rPr>
        <w:t>Глава Калтукского</w:t>
      </w:r>
    </w:p>
    <w:p w:rsidR="000620CA" w:rsidRPr="00EF311F" w:rsidRDefault="000620CA" w:rsidP="00062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11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0620CA" w:rsidRDefault="00A3323A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П.Ю. Большешапов</w:t>
      </w: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Default="00A35EAE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lastRenderedPageBreak/>
        <w:t>ПРОЕКТ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БРАТСКИЙ РАЙОН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КАЛТУКСКОЕ МУНИЦИПАЛЬНОЕ ОБРАЗОВАНИЕ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ДУМА</w:t>
      </w:r>
    </w:p>
    <w:p w:rsidR="00A35EAE" w:rsidRPr="00A35EAE" w:rsidRDefault="00A35EAE" w:rsidP="00A35EA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35EAE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EA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постановлением главы Калтукского муниципального образования № 45 от 04.10.2018 г. «О порядке разработки и корректировки стратегии социально-экономического развития Калтукского муниципального образования и плана мероприятий по реализации стратегии социально-экономического развития Калтукского муниципального образования» </w:t>
      </w:r>
      <w:r w:rsidRPr="00A35EAE">
        <w:rPr>
          <w:rFonts w:ascii="Arial" w:eastAsia="Times New Roman" w:hAnsi="Arial" w:cs="Arial"/>
          <w:sz w:val="24"/>
          <w:szCs w:val="24"/>
        </w:rPr>
        <w:t>руководствуясь</w:t>
      </w:r>
      <w:proofErr w:type="gramEnd"/>
      <w:r w:rsidRPr="00A35EAE">
        <w:rPr>
          <w:rFonts w:ascii="Arial" w:eastAsia="Times New Roman" w:hAnsi="Arial" w:cs="Arial"/>
          <w:sz w:val="24"/>
          <w:szCs w:val="24"/>
        </w:rPr>
        <w:t xml:space="preserve"> ст. 47 Устава Калтукского муниципального образования, Дума Калтукского сельского поселения,-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20"/>
          <w:sz w:val="30"/>
          <w:szCs w:val="30"/>
          <w:lang w:eastAsia="ru-RU"/>
        </w:rPr>
      </w:pPr>
      <w:r w:rsidRPr="00A35EAE">
        <w:rPr>
          <w:rFonts w:ascii="Arial" w:eastAsia="Times New Roman" w:hAnsi="Arial" w:cs="Arial"/>
          <w:b/>
          <w:spacing w:val="20"/>
          <w:sz w:val="30"/>
          <w:szCs w:val="30"/>
          <w:lang w:eastAsia="ru-RU"/>
        </w:rPr>
        <w:t>РЕШИЛА: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A35EAE">
        <w:rPr>
          <w:rFonts w:ascii="Arial" w:eastAsia="Times New Roman" w:hAnsi="Arial" w:cs="Arial"/>
          <w:sz w:val="24"/>
          <w:szCs w:val="24"/>
        </w:rPr>
        <w:t>1.</w:t>
      </w:r>
      <w:r w:rsidRPr="00A35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</w:rPr>
        <w:t>Внести изменения в Стратегию социально – экономического развития Калтукского муниципального образования на 2019-2030 годы, утвержденную решением Думы Калтукского сельского поселения от 29.11.2018 г. № 59 (далее – Стратегия) изложив ее в новой редакции (прилагается).</w:t>
      </w:r>
    </w:p>
    <w:p w:rsidR="00A35EAE" w:rsidRPr="00A35EAE" w:rsidRDefault="00A35EAE" w:rsidP="00A35EAE">
      <w:pPr>
        <w:widowControl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</w:rPr>
        <w:t xml:space="preserve">2. Настоящее решение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разместить на официальном сайте администрации Калтукского сельского поселения http://www.калтук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ф/.</w:t>
      </w:r>
    </w:p>
    <w:p w:rsidR="00A35EAE" w:rsidRPr="00A35EAE" w:rsidRDefault="00A35EAE" w:rsidP="00A35EAE">
      <w:pPr>
        <w:widowControl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настоящее решения возложить на постоянную депутатскую комиссию по бюджету, налогам и финансово-экономической деятельности.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Думы,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Глава Калтукского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П.Ю. Большешапов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35EAE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Утверждена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35EAE">
        <w:rPr>
          <w:rFonts w:ascii="Courier New" w:eastAsia="Times New Roman" w:hAnsi="Courier New" w:cs="Courier New"/>
          <w:color w:val="000000"/>
          <w:lang w:eastAsia="ru-RU"/>
        </w:rPr>
        <w:t xml:space="preserve">Решением Думы Калтукского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35EAE">
        <w:rPr>
          <w:rFonts w:ascii="Courier New" w:eastAsia="Times New Roman" w:hAnsi="Courier New" w:cs="Courier New"/>
          <w:color w:val="000000"/>
          <w:lang w:eastAsia="ru-RU"/>
        </w:rPr>
        <w:t>сельского поселения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color w:val="000000"/>
          <w:lang w:eastAsia="ru-RU"/>
        </w:rPr>
        <w:t xml:space="preserve">от 2023 г. № 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СТРАТЕГИЯ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СОЦИАЛЬНО-ЭКОНОМИЧЕСКОГО РАЗВИТИЯ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КАЛТУКСКОГО МУНИЦИПАЛЬНОГО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ОБРАЗОВАНИЯ ДО 2036 ГОДА. </w:t>
      </w: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КАЛТУК, 2023 г.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28713" w:type="dxa"/>
        <w:tblLayout w:type="fixed"/>
        <w:tblLook w:val="04A0" w:firstRow="1" w:lastRow="0" w:firstColumn="1" w:lastColumn="0" w:noHBand="0" w:noVBand="1"/>
      </w:tblPr>
      <w:tblGrid>
        <w:gridCol w:w="8330"/>
        <w:gridCol w:w="1241"/>
        <w:gridCol w:w="7089"/>
        <w:gridCol w:w="2482"/>
        <w:gridCol w:w="5848"/>
        <w:gridCol w:w="1241"/>
        <w:gridCol w:w="2482"/>
      </w:tblGrid>
      <w:tr w:rsidR="00A35EAE" w:rsidRPr="00A35EAE" w:rsidTr="00A35EAE">
        <w:tc>
          <w:tcPr>
            <w:tcW w:w="9571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3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СОДЕРЖАНИЕ</w:t>
            </w:r>
          </w:p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4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5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Общая информацию о муниципальном образовании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4.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proofErr w:type="gramEnd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информацию о муниципальном образовании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7.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Оценка социально-экономического развития муниципального образования.</w:t>
            </w: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Демографическая ситуация.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7.</w:t>
            </w: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Стр.7.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Оценка социально-экономического развития муниципального образования.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7.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Развитие образования.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7.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Развитие образования.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7.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Развитие здравоохранения.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8.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Развитие здравоохранения.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8.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 Развитие культуры.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8.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 Развитие культуры.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8.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Развитие молодежной политики, физкультуры и спорта.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9.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Развитие молодежной политики, физкультуры и спорта.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8.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Трудовые ресурсы, занятость населения.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9.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Трудовые ресурсы, занятость населения.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9.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2.7. Уровень и качество  жизни населения.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9.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2.7. Уровень и качество  жизни населения.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9.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2.8. Оценка финансового состояния.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10.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2.8. Оценка финансового состояния.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10.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Анализ структуры экономики:</w:t>
            </w: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2.9.1. Уровень развития промышленного производства.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12.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Анализ структуры экономики:</w:t>
            </w: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2.9.1. Уровень развития промышленного производства.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12.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2.9.2. Уровень развития лесного хозяйства.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13.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2.9.2. Уровень развития лесного хозяйства.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12.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2.9.3. Уровень развития агропромышленного комплекса.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13.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2.9.3. Уровень развития агропромышленного комплекса.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13.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2.9.4. Уровень развития потребительского рынка.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13.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2.9.4. Уровень развития потребительского рынка.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13.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2.9.5.Уровень развития жилищно-коммунального хозяйства.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14.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2.9.5.Уровень развития жилищно-коммунального хозяйства.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14.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2.9.6. Уровень развития транспорта и связи, в </w:t>
            </w:r>
            <w:proofErr w:type="spellStart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характеристика автомобильных дорог.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19.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2.9.6. Уровень развития транспорта и связи, в </w:t>
            </w:r>
            <w:proofErr w:type="spellStart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характеристика автомобильных дорог.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19.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2.9.7. Уровень развития малого и среднего предпринимательства и его роль в социально-экономическом развитии муниципального образования.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20.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2.9.7. Уровень развития малого и среднего предпринимательства и его роль в социально-экономическом развитии муниципального образования.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20.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2.9.8. Оценка состояния окружающей среды.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21.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2.9.8. Оценка состояния окружающей среды.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21.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Основные проблемы социально-экономического развития поселения.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21.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Основные проблемы социально-экономического развития поселения.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21.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Оценка действующих мер по улучшению социально - экономического положения муниципального образования.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23.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Оценка действующих мер по улучшению социально - экономического положения муниципального образования. </w:t>
            </w:r>
          </w:p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23.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Резервы (ресурсы) социально-экономического развития поселения.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28.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Резервы (ресурсы) социально-экономического развития поселения.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28.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Миссия, стратегические цели, задачи и перечень наиболее крупных мероприятий и инвестиционных проектов, направленных на решение проблемных вопросов в муниципальном образовании в долгосрочной перспективе.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30.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Миссия, стратегические цели, задачи и перечень наиболее крупных мероприятий и инвестиционных проектов, направленных на решение проблемных вопросов в муниципальном образовании в долгосрочной перспективе.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30.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Ожидаемые результаты реализации Стратегии.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37.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Ожидаемые результаты реализации Стратегии.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37.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VIII</w:t>
            </w: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Механизм реализации Стратегии. 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37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Механизм реализации Стратегии. </w:t>
            </w: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37</w:t>
            </w: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40.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5EAE" w:rsidRPr="00A35EAE" w:rsidTr="00A35EAE">
        <w:trPr>
          <w:gridAfter w:val="1"/>
          <w:wAfter w:w="2482" w:type="dxa"/>
        </w:trPr>
        <w:tc>
          <w:tcPr>
            <w:tcW w:w="83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833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 42.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Toc498599165"/>
      <w:r w:rsidRPr="00A35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Общие положения</w:t>
      </w:r>
      <w:bookmarkEnd w:id="1"/>
    </w:p>
    <w:p w:rsidR="00A35EAE" w:rsidRPr="00A35EAE" w:rsidRDefault="00A35EAE" w:rsidP="00A35EAE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Стратегия социально-экономического развития Калтукского муниципального образования до 2036 года (далее – Стратегия) разработана в соответствии с Федеральным законом от 28.06.2014г. № 172-ФЗ «О стратегическом планировании в Российской Федерации и в соответствии с порядком разработки и корректировки стратегии социально-экономического развития Калтукского муниципального образования и плана мероприятий по реализации стратегии социально-экономического развития Калтукского муниципального образования утвержденным постановлением главы Калтукского муниципального образования № 45 от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04.10.2018 г. «О порядке разработки и корректировки стратегии социально-экономического развития Калтукского муниципального образования и плана мероприятий по реализации стратегии социально-экономического развития Калтукского муниципального образования.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Стратегия </w:t>
      </w:r>
      <w:r w:rsidRPr="00A35EAE">
        <w:rPr>
          <w:rFonts w:ascii="Arial" w:eastAsia="Calibri" w:hAnsi="Arial" w:cs="Arial"/>
          <w:sz w:val="24"/>
          <w:szCs w:val="24"/>
          <w:lang w:eastAsia="ru-RU"/>
        </w:rPr>
        <w:t>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Разработчиком стратегии является администрация Калтукского сельского поселения.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 Общая информация о Калтукском муниципальном образовании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Деревня Калтук была основана 1723 г. Калтукское муниципальное образование расположено в центральной части Братского района Иркутской области. На северной стороне муниципальное образование граничит с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Большеокинским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юго-востоке с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Куватским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 с Ключи-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Булакским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западе с Покоснинским сельским поселением Братского района. Площадь муниципального образования -51790,78 га, и составляет в общей площади Братского района 1,6%.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Калтукское муниципальное образование включает в себя два населенных пункт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село Калтук и поселок Черемшанка.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Расстояние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 Калтук до районного центра г. Братска составляет 114 км., до областного центра, г. Иркутска- 570 км Расстояние до ближайшей железнодорожной станции «Вихоревка» составляет 108 км.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населения муниципального образования составляет  1923 человека.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трудоспособного населения 1923 человека – 100 %, мужчин 744 человек - 38,6%, женщин 777 человек-40,4%. Моложе трудоспособного 398 человек- 20,69%, старше трудоспособного 402 человек- 20,90%.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социальной защите населения администрация работает совместно с департаментом соц. защиты по Братскому району. Помимо этого работают два социальных работника, которые обслуживают 9 одиноких престарелых  граждан.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Все мероприятия по социальной защите населения в рамках существующего Закона – исполняются.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Экономико-географическое положение поселения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Транспортное положение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Характеристика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Расстояние от областного центра (по степени удаленности от центра субъекта Федерации):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-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центральное-до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200 км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-полупериферийное-200-500 км;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периферийно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е-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свыше 500 км.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570 км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2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Пограничность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( 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с кем граничит):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 муниципальным районом;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 соседним субъектом РФ;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 городским округом;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 муниципальными образованиями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Большеокинским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, Покоснинским,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Куватским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,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Ключи-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Булакским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 отношении речной сети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расположен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 берегу водохранилища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в нижнем течении ее притоков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в верховьях притоков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речных портов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Братское водохранилище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Название железных дорог, пересекающих поселение наличие на них: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сортировочных, погрузо-разгрузочных станций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пригородного сообщения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Время поездки: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до ближайшего центра муниципального района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до центра субъекта РФ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 часа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 часов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Направление шоссейных дорог, пересекающих муниципальное образование: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федеральная трасса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дорога регионального значения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 севера на юг 14,5 км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Прохождение через территорию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магистральных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(указать направление):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нефтепроводов, продуктопроводов;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газопроводов;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-ЛЭП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дизельная электростанция</w:t>
            </w: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537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Прочие особенности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По природно-климатическим условиям, сельское поселение приравнено к  районам Крайнего Севера и находится вне зоны интенсивного освоения. Климат резко континентальный. 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наличии и распределении земель по категориям и формам собственности Калтукского муниципального образования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711"/>
        <w:gridCol w:w="900"/>
        <w:gridCol w:w="1620"/>
        <w:gridCol w:w="1080"/>
        <w:gridCol w:w="1440"/>
        <w:gridCol w:w="1003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711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Категории земель</w:t>
            </w:r>
          </w:p>
        </w:tc>
        <w:tc>
          <w:tcPr>
            <w:tcW w:w="6043" w:type="dxa"/>
            <w:gridSpan w:val="5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Общая площадь земель в границах поселения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711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кв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.к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м</w:t>
            </w:r>
            <w:proofErr w:type="spellEnd"/>
          </w:p>
        </w:tc>
        <w:tc>
          <w:tcPr>
            <w:tcW w:w="5143" w:type="dxa"/>
            <w:gridSpan w:val="4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 них предоставлено: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711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00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гражданам</w:t>
            </w:r>
          </w:p>
        </w:tc>
        <w:tc>
          <w:tcPr>
            <w:tcW w:w="2443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Юридическим лицам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711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00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Во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владение и пользование</w:t>
            </w: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аренду</w:t>
            </w: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пользование</w:t>
            </w: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аренду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Всего земель в админ-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ых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границах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517.9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поселений,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.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Собствен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517.9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0,97</w:t>
            </w: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9,9</w:t>
            </w: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proofErr w:type="spellStart"/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и</w:t>
            </w:r>
            <w:proofErr w:type="spellEnd"/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земли иного специального назначения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3.27025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3.1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промышленности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3.2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энергетики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2.7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транспорта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0.57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3.3.1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железнодорожного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3.3.2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автомобильного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0.57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3.3.3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Морского, внутреннего водного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3.3.4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воздушного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3.3.5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трубопроводного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3.4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связи, радиовещания, телевидения, информатики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0.00025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3.5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для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обеспеч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-я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космич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 деятельности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3.6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для обороны и безопасности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3.7.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иного спец. назначения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4.1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особо охраняемых природных территорий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4.1.1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Земли лечебно-оздоровительных местностей и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курортов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4.2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рекреационного назначения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0.05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4.3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историко-культурного назначения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0.021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лесного фонда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водного фонда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10876</w:t>
            </w: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Земли запаса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 всех земель: земли природоохранного назначения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271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 всех земель: особо ценные земли</w:t>
            </w:r>
          </w:p>
        </w:tc>
        <w:tc>
          <w:tcPr>
            <w:tcW w:w="9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 Оценка социально – экономического развития Калтукского муниципального образования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2.1. Демографическая ситуация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демографического потенциала Калтукского сельского поселения 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Численность постоянного населения на территории Калтукского муниципального образования в сравнении с 2021 годом по 2022 год составила убыль населения на 34 человека. Рождаемость в сравнении с 2021 годом упала на 24 человека, смертность упала на 0 человек, прибыло в 2022 году на 5 человек больше, чем в 2021 году, убыло на -13 человек.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3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619"/>
        <w:gridCol w:w="1930"/>
        <w:gridCol w:w="1932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Показатели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93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1965</w:t>
            </w:r>
          </w:p>
        </w:tc>
        <w:tc>
          <w:tcPr>
            <w:tcW w:w="193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1923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Рождаемость, чел.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31</w:t>
            </w:r>
          </w:p>
        </w:tc>
        <w:tc>
          <w:tcPr>
            <w:tcW w:w="193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Смертность, чел.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193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Прибыло 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67</w:t>
            </w:r>
          </w:p>
        </w:tc>
        <w:tc>
          <w:tcPr>
            <w:tcW w:w="1932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72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Убыло 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80</w:t>
            </w:r>
          </w:p>
        </w:tc>
        <w:tc>
          <w:tcPr>
            <w:tcW w:w="1932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4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Миграционный прирост (убыль), чел.</w:t>
            </w:r>
          </w:p>
        </w:tc>
        <w:tc>
          <w:tcPr>
            <w:tcW w:w="193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-13</w:t>
            </w:r>
          </w:p>
        </w:tc>
        <w:tc>
          <w:tcPr>
            <w:tcW w:w="1932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-21</w:t>
            </w:r>
          </w:p>
        </w:tc>
      </w:tr>
    </w:tbl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2.2. Развитие образования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образования: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МКОУ «Калтукская СОШ» вместимость - 200 человек, требуется капитальный ремонт, износ 70 %;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МКДОУ детский сад «Светлячок» вместимость 115 человек, требуется капитальный ремонт канализационной системы, отопительной системы и водопроводной, износ 30 %.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4821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Показателя</w:t>
            </w:r>
          </w:p>
        </w:tc>
        <w:tc>
          <w:tcPr>
            <w:tcW w:w="721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Виды учреждений образования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МКОУ «Калтукская СОШ»</w:t>
            </w: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МКДОУ детский сад «Светлячок»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Вместимость </w:t>
            </w: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200 чел.</w:t>
            </w: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115 чел.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Техническое состояние, степень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износа, %</w:t>
            </w: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Требуется кап-й ремонт, 70%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Требуется капитальный ремонт канализационной системы, отопительной системы и водопроводной, 30 %.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2.3. Развитие здравоохранения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Медицинские учреждения на территории Калтукского муниципального образования – участковая больница с. Калтук, вместимость 37 коек, посещений в год 12613, требуется ремонт фундамента, косметический ремонт помещений, ремонт крыши, износ здания 83 %.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 1 ноября 2021 года начал работу пост станции ОГАУЗ «Братская городская станция скорой медицинской помощи», который обслуживает населенные пункты автодороги «Полукольцо»: с.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Большеокинское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п.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Новодолоново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, с. Калтук, с. Ключи-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Булак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Кумейка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д. Леонова, с. Кобь, д.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Куватка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7214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92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Показателя</w:t>
            </w:r>
          </w:p>
        </w:tc>
        <w:tc>
          <w:tcPr>
            <w:tcW w:w="721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Виды медицинских учреждений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21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Участковая больница с. Калтук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Вместимость (коек, посещений)</w:t>
            </w:r>
          </w:p>
        </w:tc>
        <w:tc>
          <w:tcPr>
            <w:tcW w:w="721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37 коек,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12 613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посещений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Техническое состояние, степень износа, %</w:t>
            </w:r>
          </w:p>
        </w:tc>
        <w:tc>
          <w:tcPr>
            <w:tcW w:w="721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Требуется ремонт фундамента, косметический ремонт помещений</w:t>
            </w:r>
            <w:r w:rsidRPr="00A35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t>ремонт крыши, износ здания 83 %.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35EAE" w:rsidRPr="00A35EAE" w:rsidRDefault="00A35EAE" w:rsidP="00A35EAE">
      <w:pPr>
        <w:spacing w:after="0" w:line="240" w:lineRule="auto"/>
        <w:ind w:left="87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10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Развитие культуры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.г</w:t>
      </w:r>
      <w:proofErr w:type="spellEnd"/>
      <w:proofErr w:type="gramEnd"/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Учреждения культуры – МКУК «Калтукский культурно – досуговый центр Братского района» вместимостью 230 человек, требуется текущий ремонт, износ 35 %.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6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98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Показателя</w:t>
            </w:r>
          </w:p>
        </w:tc>
        <w:tc>
          <w:tcPr>
            <w:tcW w:w="769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Виды учреждений культуры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69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МКУК «Калтукский культурн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о-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досуговый центр Братского района»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Вместимость </w:t>
            </w:r>
          </w:p>
        </w:tc>
        <w:tc>
          <w:tcPr>
            <w:tcW w:w="769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230 чел.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Техническое состояние, степень износа, %</w:t>
            </w:r>
          </w:p>
        </w:tc>
        <w:tc>
          <w:tcPr>
            <w:tcW w:w="769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Требуется текущий ремонт, 35 %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2.5. Развитие молодежной политики, физкультуры и спорта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Виды учреждений физкультуры и спорта – спортивный зал МКОУ «Калтукская СОШ», вместимостью 70 человек, открытый спортивный стадион, которому необходим капитальный ремонт, замена ограждения.</w:t>
      </w: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7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4821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 w:val="restart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Показателя</w:t>
            </w:r>
          </w:p>
        </w:tc>
        <w:tc>
          <w:tcPr>
            <w:tcW w:w="721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Виды учреждений физкультуры и спорта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Школьный спортзал</w:t>
            </w: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Открытый спортивный стадион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Вместимость </w:t>
            </w: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70 чел.</w:t>
            </w: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Техническое состояние, степень износа, %</w:t>
            </w:r>
          </w:p>
        </w:tc>
        <w:tc>
          <w:tcPr>
            <w:tcW w:w="239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Проведен капитальный ремонт, 0 %</w:t>
            </w:r>
          </w:p>
        </w:tc>
        <w:tc>
          <w:tcPr>
            <w:tcW w:w="482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Необходим кап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р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емонт, замена ограждения</w:t>
            </w:r>
          </w:p>
        </w:tc>
      </w:tr>
    </w:tbl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2.6. Трудовые ресурсы, занятость населения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работающих (занятых в экономике) в сравнении с 2021 годом и 2022 годом увеличилось на 21 человек, количество безработных уменьшилось на 14 человек, количество пенсионеров упала на 11 человек, количество вакантных должностей, нет. 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8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5585"/>
        <w:gridCol w:w="1401"/>
        <w:gridCol w:w="1400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Показатели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Численность работающих (занятых в экономике), чел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1102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1123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Количество безработных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( 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по данным ЦЗ), чел.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24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 вакантных должностей, ед.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 пенсионеров, чел.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430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419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6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5585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Коэффициент пенсионной нагрузки (отношение численности пенсионеров к численности работающих.)</w:t>
            </w:r>
          </w:p>
        </w:tc>
        <w:tc>
          <w:tcPr>
            <w:tcW w:w="1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140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0,37</w:t>
            </w:r>
          </w:p>
        </w:tc>
      </w:tr>
    </w:tbl>
    <w:p w:rsidR="00A35EAE" w:rsidRPr="00A35EAE" w:rsidRDefault="00A35EAE" w:rsidP="00A35EAE">
      <w:pPr>
        <w:spacing w:after="0" w:line="240" w:lineRule="auto"/>
        <w:ind w:left="56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2.7. Уровень и качество жизни населения</w:t>
      </w:r>
    </w:p>
    <w:p w:rsidR="00A35EAE" w:rsidRPr="00A35EAE" w:rsidRDefault="00A35EAE" w:rsidP="00A35EAE">
      <w:pPr>
        <w:spacing w:after="0" w:line="240" w:lineRule="auto"/>
        <w:ind w:left="101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Среднесписочная численность работающих на предприятиях, зарегистрированных на территории сельского поселения по итогам 2021 г. составляет – 132 чел.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ФОТ работающих на предприятиях, зарегистрированных на территории сельского поселения по итогам 2021 г. составляет – 64,00 млн. руб. По оценочным данным ФОТ в 2022 г. составит – 69,30 млн. руб., прогноз на 2023г. –73,40 млн. руб., 2024г. – 76,40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., 2025г. – 79,40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млн.руб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left="101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101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9</w:t>
      </w:r>
    </w:p>
    <w:p w:rsidR="00A35EAE" w:rsidRPr="00A35EAE" w:rsidRDefault="00A35EAE" w:rsidP="00A35EAE">
      <w:pPr>
        <w:spacing w:after="0" w:line="240" w:lineRule="auto"/>
        <w:ind w:left="101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683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7"/>
        <w:gridCol w:w="4797"/>
        <w:gridCol w:w="21"/>
        <w:gridCol w:w="2394"/>
        <w:gridCol w:w="21"/>
        <w:gridCol w:w="2426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2"/>
          <w:wBefore w:w="24" w:type="dxa"/>
          <w:trHeight w:val="544"/>
          <w:jc w:val="center"/>
        </w:trPr>
        <w:tc>
          <w:tcPr>
            <w:tcW w:w="9639" w:type="dxa"/>
            <w:gridSpan w:val="5"/>
          </w:tcPr>
          <w:p w:rsidR="00A35EAE" w:rsidRPr="00A35EAE" w:rsidRDefault="00A35EAE" w:rsidP="00A35E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Создание благоприятных условий жизнедеятельности населения.</w:t>
            </w:r>
          </w:p>
          <w:tbl>
            <w:tblPr>
              <w:tblW w:w="9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1"/>
              <w:gridCol w:w="2415"/>
              <w:gridCol w:w="2447"/>
            </w:tblGrid>
            <w:tr w:rsidR="00A35EAE" w:rsidRPr="00A35EAE" w:rsidTr="00A35EAE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  <w:jc w:val="center"/>
              </w:trPr>
              <w:tc>
                <w:tcPr>
                  <w:tcW w:w="4811" w:type="dxa"/>
                </w:tcPr>
                <w:p w:rsidR="00A35EAE" w:rsidRPr="00A35EAE" w:rsidRDefault="00A35EAE" w:rsidP="00A35EA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A35EAE" w:rsidRPr="00A35EAE" w:rsidRDefault="00A35EAE" w:rsidP="00A35EA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35EAE">
                    <w:rPr>
                      <w:rFonts w:ascii="Courier New" w:eastAsia="Times New Roman" w:hAnsi="Courier New" w:cs="Courier New"/>
                      <w:lang w:eastAsia="ru-RU"/>
                    </w:rPr>
                    <w:t>2021</w:t>
                  </w:r>
                </w:p>
              </w:tc>
              <w:tc>
                <w:tcPr>
                  <w:tcW w:w="2442" w:type="dxa"/>
                </w:tcPr>
                <w:p w:rsidR="00A35EAE" w:rsidRPr="00A35EAE" w:rsidRDefault="00A35EAE" w:rsidP="00A35EA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35EAE">
                    <w:rPr>
                      <w:rFonts w:ascii="Courier New" w:eastAsia="Times New Roman" w:hAnsi="Courier New" w:cs="Courier New"/>
                      <w:lang w:eastAsia="ru-RU"/>
                    </w:rPr>
                    <w:t>2022</w:t>
                  </w:r>
                </w:p>
              </w:tc>
            </w:tr>
          </w:tbl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4811" w:type="dxa"/>
            <w:gridSpan w:val="3"/>
            <w:tcBorders>
              <w:bottom w:val="nil"/>
            </w:tcBorders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1. Число постоянных дошкольных учреждени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й-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всего ед.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42" w:type="dxa"/>
            <w:gridSpan w:val="2"/>
            <w:tcBorders>
              <w:bottom w:val="nil"/>
            </w:tcBorders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1098"/>
          <w:jc w:val="center"/>
        </w:trPr>
        <w:tc>
          <w:tcPr>
            <w:tcW w:w="4815" w:type="dxa"/>
            <w:gridSpan w:val="3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 Охват детей дошкольными учреждениям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и(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 % от численности детей соответствующего возраста), %</w:t>
            </w:r>
          </w:p>
        </w:tc>
        <w:tc>
          <w:tcPr>
            <w:tcW w:w="241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4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559"/>
          <w:jc w:val="center"/>
        </w:trPr>
        <w:tc>
          <w:tcPr>
            <w:tcW w:w="4815" w:type="dxa"/>
            <w:gridSpan w:val="3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3.Число общеобразовательных учреждений – всего ед.</w:t>
            </w:r>
          </w:p>
        </w:tc>
        <w:tc>
          <w:tcPr>
            <w:tcW w:w="241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272"/>
          <w:jc w:val="center"/>
        </w:trPr>
        <w:tc>
          <w:tcPr>
            <w:tcW w:w="4815" w:type="dxa"/>
            <w:gridSpan w:val="3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 Число больничных учреждени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й-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всего, ед.</w:t>
            </w:r>
          </w:p>
        </w:tc>
        <w:tc>
          <w:tcPr>
            <w:tcW w:w="241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272"/>
          <w:jc w:val="center"/>
        </w:trPr>
        <w:tc>
          <w:tcPr>
            <w:tcW w:w="4815" w:type="dxa"/>
            <w:gridSpan w:val="3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5. Число спортивных учреждени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й-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всего, ед.</w:t>
            </w:r>
          </w:p>
        </w:tc>
        <w:tc>
          <w:tcPr>
            <w:tcW w:w="241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574"/>
          <w:jc w:val="center"/>
        </w:trPr>
        <w:tc>
          <w:tcPr>
            <w:tcW w:w="4815" w:type="dxa"/>
            <w:gridSpan w:val="3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6. Число культурно-досуговых учреждений -  всего, ед.</w:t>
            </w:r>
          </w:p>
        </w:tc>
        <w:tc>
          <w:tcPr>
            <w:tcW w:w="241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421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 Оценка финансового состояния.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Бюджет Калтукского сельского поселения на 2021 год и плановый период 2022 и 2023 годов был принят Решением Думы № 133 от 28.12.2020 года.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доходов бюджета Калтукского сельского поселения на 2022год утвержден в сумме 31882,2 тысяч рублей, на 2021 – на 7541,0 тыс. руб. больше (см. табл. 10).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Таблица 10</w:t>
      </w: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и структура доходов бюджета Калтукского сельского поселения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851"/>
        <w:gridCol w:w="1851"/>
        <w:gridCol w:w="1851"/>
        <w:gridCol w:w="1820"/>
      </w:tblGrid>
      <w:tr w:rsidR="00A35EAE" w:rsidRPr="00A35EAE" w:rsidTr="00A35EAE">
        <w:tc>
          <w:tcPr>
            <w:tcW w:w="2198" w:type="dxa"/>
            <w:vMerge w:val="restart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 доходов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2021 год</w:t>
            </w:r>
          </w:p>
        </w:tc>
        <w:tc>
          <w:tcPr>
            <w:tcW w:w="3671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2022 год</w:t>
            </w:r>
          </w:p>
        </w:tc>
      </w:tr>
      <w:tr w:rsidR="00A35EAE" w:rsidRPr="00A35EAE" w:rsidTr="00A35EAE">
        <w:tc>
          <w:tcPr>
            <w:tcW w:w="2198" w:type="dxa"/>
            <w:vMerge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Тыс. руб.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Уд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.в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ес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, %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Тыс. руб.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Уд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ес, %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1.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t>Налоговые и неналоговые доходы: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3301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13,6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3410,7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10,7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Налог на прибыль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710,5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758,1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2,4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Налоги на совокупный доход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10,7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0,03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Налоги на имущество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833,8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3,5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542,9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1,7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Государственная пошлина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0,05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9,7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0,02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Налоги на товары (работы и услуги) реализуемые на территории Российской федерации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1705,4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1923,4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38,7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0,15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165,9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Штрафы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2.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t>Безвозмездные поступления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21040,2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86,4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28471,5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89,3</w:t>
            </w:r>
          </w:p>
        </w:tc>
      </w:tr>
      <w:tr w:rsidR="00A35EAE" w:rsidRPr="00A35EAE" w:rsidTr="00A35EAE">
        <w:tc>
          <w:tcPr>
            <w:tcW w:w="2198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24341,2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31882,2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</w:tbl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Анализируя структуру доходов сельского поселения видно, что наибольший удельный вес занимают безвозмездные поступления (89,3%), доля неналоговых доходов в общем объеме доходов поселения составляет 18,9%. В 2022 году увеличились поступления по доходам от оказания платных услуг и компенсации затрат государства, 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бюджета Калтукского сельского поселения на 2022 год утвержден в сумме 34177,9 тысячи рублей, на 2021 – на 3621,0 тыс. руб. больше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м. табл.11)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Таблица 11</w:t>
      </w: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и структура расходов бюджета Калтукского сельского поселения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752"/>
        <w:gridCol w:w="1670"/>
        <w:gridCol w:w="1753"/>
        <w:gridCol w:w="1671"/>
      </w:tblGrid>
      <w:tr w:rsidR="00A35EAE" w:rsidRPr="00A35EAE" w:rsidTr="00A35EAE">
        <w:tc>
          <w:tcPr>
            <w:tcW w:w="2725" w:type="dxa"/>
            <w:vMerge w:val="restart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 расходов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2021год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2022год</w:t>
            </w:r>
          </w:p>
        </w:tc>
      </w:tr>
      <w:tr w:rsidR="00A35EAE" w:rsidRPr="00A35EAE" w:rsidTr="00A35EAE">
        <w:tc>
          <w:tcPr>
            <w:tcW w:w="2725" w:type="dxa"/>
            <w:vMerge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Тыс. руб.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Уд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ес, %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Тыс. руб.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Уд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ес, %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7838,9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25,7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5286,9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27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163,3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180,1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Национальная безопасность и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правоохранительная деятельность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2687,8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8,8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3460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10,1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6936,7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22,7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4056,7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11,9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1168,3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3,8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4757,7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10808,2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35,4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11426,1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33,5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Социальная политика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147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170,3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Физическая культура и спорт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805,7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869,1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2,5</w:t>
            </w: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c>
          <w:tcPr>
            <w:tcW w:w="2725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30556,9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34177,9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</w:tbl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Объем расходов бюджета Калтукского сельского поселения утвержден на 2022 год сумме 34177,9 тысяч рублей.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 структуре расходов бюджета поселения наибольший удельный вес занимают расход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ы(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субсидии) на содержание учреждений культуры -34,9%.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содержание органов местного самоуправления составляют 26,4% от общей суммы расходов бюджета.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Благоустройство, коммунальное хозяйство и дорожное хозяйство составляют 22,31% от общих расходов поселения.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функционирование высшего должностного лица муниципального образования составляют 3,8% от общих расходов поселения.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Незначительными по удельному весу в общем объеме расходов поселения являются расходы на обслуживание государственного муниципального долга  (0%).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Сопоставив выше приведенные данные можно сделать вывод, что бюджет Калтукского сельского поселения  не сбалансирован. Дефицит бюджета составляет 2295,7 тысяч рублей.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Общая балансовая стоимость муниципального имущества, переданного по договору в безвозмездного пользования на 28.01.2022 года составляет 17978,5 тыс. руб. величина балансовой стоимости имущества включенного в реестр Калтукского МО составляет 13119,5 тыс. руб.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финансовых ресурсов (потребность), необходимых для реализации стратегии будет осуществляться: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Бюджетные (все источники бюджетов) – в рамках муниципальных программ Калтукского муниципального образования, программ МО «Братский район», государственных программ Иркутской области в соответствии с законами (решениями) о бюджетах.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Внебюджетные – в рамках инвестиционных проектов, реализуемых на территории Калтукского муниципального образования, соглашений о социально-экономическом сотрудничестве, соглашений о государственно-частном партнерстве и концессионных соглашений.</w:t>
      </w:r>
      <w:proofErr w:type="gramEnd"/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2.9. Анализ структуры экономики: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2.9.1. Уровень развития промышленного производства</w:t>
      </w:r>
    </w:p>
    <w:p w:rsidR="00A35EAE" w:rsidRPr="00A35EAE" w:rsidRDefault="00A35EAE" w:rsidP="00A35EAE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экономическую деятельность осуществляют 13 индивидуальных предпринимателей из них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- 11 осуществляют розничную торговлю;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 в сфере сельского хозяйства;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 перевозка людей.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осуществляет деятельность в сфере жилищного коммунального хозяйства - МУП «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Теплосервис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Производственный потенциал</w:t>
      </w:r>
    </w:p>
    <w:p w:rsidR="00A35EAE" w:rsidRPr="00A35EAE" w:rsidRDefault="00A35EAE" w:rsidP="00A35EAE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right="4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12 </w:t>
      </w:r>
    </w:p>
    <w:p w:rsidR="00A35EAE" w:rsidRPr="00A35EAE" w:rsidRDefault="00A35EAE" w:rsidP="00A35EAE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44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1149"/>
        <w:gridCol w:w="1756"/>
        <w:gridCol w:w="1300"/>
        <w:gridCol w:w="1260"/>
        <w:gridCol w:w="1220"/>
        <w:gridCol w:w="1280"/>
        <w:gridCol w:w="1122"/>
        <w:gridCol w:w="1157"/>
      </w:tblGrid>
      <w:tr w:rsidR="00A35EAE" w:rsidRPr="00A35EAE" w:rsidTr="00A35EAE">
        <w:trPr>
          <w:trHeight w:val="6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Число предприятий, зарегистрированных на территории МО - всего, ед.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том числе по видам деятельности:</w:t>
            </w:r>
          </w:p>
        </w:tc>
      </w:tr>
      <w:tr w:rsidR="00A35EAE" w:rsidRPr="00A35EAE" w:rsidTr="00A35EAE">
        <w:trPr>
          <w:trHeight w:val="22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Промышленность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Сельское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br/>
              <w:t>хозяйство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Лесозаготовки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Строительство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Торговля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Транспорт и связь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Прочие</w:t>
            </w:r>
          </w:p>
        </w:tc>
      </w:tr>
      <w:tr w:rsidR="00A35EAE" w:rsidRPr="00A35EAE" w:rsidTr="00A35EAE">
        <w:trPr>
          <w:trHeight w:val="24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rPr>
          <w:trHeight w:val="24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0"/>
        </w:tabs>
        <w:spacing w:after="0" w:line="240" w:lineRule="auto"/>
        <w:ind w:left="100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0"/>
        </w:tabs>
        <w:spacing w:after="0" w:line="240" w:lineRule="auto"/>
        <w:ind w:left="100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0"/>
        </w:tabs>
        <w:spacing w:after="0" w:line="240" w:lineRule="auto"/>
        <w:ind w:left="100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2.9.2. Уровень развития лесного хозяйства.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осуществляют деятельность следующие организации: Территориальное управление Министерства лесного комплекса Иркутской области по Братскому лесничеству  (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Тарминское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участковое лесничество) – 7 человек, Областное государственное автономное учреждение « Иркутская база авиационной и наземной охраны лесов» ЛПС – </w:t>
      </w:r>
      <w:r w:rsidRPr="00A35EA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с. Калтук  – 12 человек. 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Направление деятельности</w:t>
      </w:r>
      <w:r w:rsidRPr="00A35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ЛПС – II с. Калтук, в том числе Калтукского производственного участка – тушение лесных пожаров, пресечение самовольных рубок, мониторинг вспышек болезней и вредителей леса, недопущение захламления лесов бытовым и строительным мусором.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Ключевые задачи развития лесного хозяйства: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организация охраны лесов от пожаров;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сокращение удельной площади земель лесного фонда покрытых лесной растительностью погибшей от пожаров;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повышение эффективности защиты лесов от болезней и вредителей;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Приоритетные направления мероприятий, направленных на решение ключевых задач: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тушение лесных пожаров;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развитие лесной охраны;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ликвидация последствий лесных пожаров: проведение лесовосстановительных мероприятий, выборочных и сплошных санитарных рубок;</w:t>
      </w:r>
    </w:p>
    <w:p w:rsidR="00A35EAE" w:rsidRPr="00A35EAE" w:rsidRDefault="00A35EAE" w:rsidP="00A35EAE">
      <w:pPr>
        <w:tabs>
          <w:tab w:val="left" w:pos="378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защита лесов.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2.9.3. Уровень развития агропромышленного комплекса.</w:t>
      </w:r>
    </w:p>
    <w:p w:rsidR="00A35EAE" w:rsidRPr="00A35EAE" w:rsidRDefault="00A35EAE" w:rsidP="00A35EAE">
      <w:pPr>
        <w:spacing w:after="0" w:line="240" w:lineRule="auto"/>
        <w:ind w:left="100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Агропромышленный комплекс играет особо важную социальную роль, не только решая вопросы продовольственного обеспечения, но и обеспечивая основную занятость и доходы населения.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Основными экономическими факторами развития агропромышленного комплекса служат наличие свободных земельных ресурсов, высокая обеспеченность сельхозугодиями, в том числе пашнями, стабильно растущие объемы производства зерна, обеспечивающие устойчивую кормовую базу для развития животноводства.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осуществляют: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35E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Компания ООО "ХОЗЯЙСТВО "ГЕЛИОС", директор организации - СМИРНОВА ЕЛЕНА СТАНИСЛАВОВНА, находится по юридическому адресу 665764, Иркутская область, Братский района, село </w:t>
      </w:r>
      <w:proofErr w:type="spellStart"/>
      <w:r w:rsidRPr="00A35E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Большеокинское</w:t>
      </w:r>
      <w:proofErr w:type="spellEnd"/>
      <w:r w:rsidRPr="00A35E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Основным видом деятельности является «Разведение молочного крупного рогатого скота, производство сырого молока». Основная отрасль компании - «Мясная промышленность (</w:t>
      </w:r>
      <w:proofErr w:type="gramStart"/>
      <w:r w:rsidRPr="00A35E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без</w:t>
      </w:r>
      <w:proofErr w:type="gramEnd"/>
      <w:r w:rsidRPr="00A35E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клеежелатиновой)». 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2.9.4. Уровень развития потребительского рынка.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Рыночная инфраструктура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наличие элементов рыночной инфраструктуры на 1.01.2023 г.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13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160"/>
        <w:gridCol w:w="2263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Элементы рыночной инфраструктуры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Количество,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ед.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Примечание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- Кредитно-финансовая система,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банки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инвестиционные компании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негосударственные пенсионные фонды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страховые компании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иные структуры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нет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Торговля и общественное питание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Наличие торговых заведений и складских помещений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14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263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Всего, ед.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1. Магазины, павильоны, всего,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фирменной торговли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 Палатки, киоски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 Автозаправочные станции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4.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Общетоварные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склады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5. Предприятия общественного питания</w:t>
            </w:r>
          </w:p>
        </w:tc>
        <w:tc>
          <w:tcPr>
            <w:tcW w:w="2263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2.9.5. Уровень развития жилищно-коммунального хозяйства.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Калтукское муниципальное образование включает в себя два населенных пункта: село Калтук и поселок Черемшанка.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муниципального образования составляет –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51790,78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га.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жилищного фонда муниципального образования составляет 40,4 тыс. м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 состав жилого фонда поселка входят одно- и двухэтажные дома в деревянном, панельном и кирпичном исполнении. Сельское поселение представляет собой 603 дома.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МО функционируют 6 объектов бюджетной сферы. Жилищный фонд муниципального образования неблагоустроенный, </w:t>
      </w:r>
      <w:proofErr w:type="spellStart"/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полублагоустроенный</w:t>
      </w:r>
      <w:proofErr w:type="spellEnd"/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частично благоустроенный.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поселения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функционируют 6 муниципальных котельных, из них 5 котельных МУП «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Теплосервис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Центральная котельная</w:t>
      </w:r>
      <w:r w:rsidRPr="00A35EAE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A35EAE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расположена по адресу: с. Калтук, ул. Гагарина, 22, строение 9. Здание котельной площадь 684,25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возведенное в 2011 году. Котельная работает на твердом топливе – бурый уголь. В 2021-2022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 приобретены и смонтированы новые котлы марки КВМ-1. Срок службы котла 10 лет, аварийных ситуаций не было. Установлены сетевые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насосы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необходимый расход воды и напор достаточный для покрытия местных сопротивлений. Насосы запущены в 2011 году.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Котельная школы -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расположена по адресу: с. Калтук, ул. Советская, 2в, строение 5, помещение 2. Здание котельной площадь 279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возведенное в 1968 году. Котельная работает на твердом топливе – бурый уголь, дрова. Имеет 2 котла марки КВр-0,5. Расход топлива 370 т/г. Срок службы котла 10 лет, аварийных ситуаций не было. Котлы запущены в работу в 2012 году. Установлены сетевые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насосы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необходимый расход воды и напор достаточный для покрытия местных сопротивлений. Марки насосов: К 45/30 (сетевой) 2010г., К 45/30 (сетевой) 2013г., К 8/18 (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подпиточный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) 2010г.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Котельная детского сада «Светлячок»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расположена по адресу: с. Калтук, ул. Советская, 14А, строение 2. Здание котельной площадь 938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возведенное в 1981 году. Котельная работает на твердом топливе – бурый уголь. Имеет 2 котла марки «Братск-М». Расход топлива 300 т/г. Срок службы котла 10 лет. Оба котла запущены в работу в 1984 году, в 2007 году произведен капитальный ремонт. Установлены сетевые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насосы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необходимый расход воды и напор достаточный для покрытия местных сопротивлений. Марки насосов: К 45/30 (сетевой) 2012г., К 45/30 (сетевой) 2010г., К 50-32-125 (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подпиточный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) 2009г.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Котельная СДК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расположена по адресу: с. Калтук, ул. Погодаева, 12Г. Здание котельной площадь 127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возведенное в 1982 году. Котельная работает на твердом топливе – бурый уголь, дрова. В 2021-2022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 приобретены и смонтированы новые котлы марки КВР-023.</w:t>
      </w:r>
      <w:r w:rsidRPr="00A35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Срок службы котла 10 лет.  Установлены сетевые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насосы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необходимый расход воды и напор достаточный для покрытия местных сопротивлений. Марки насосов: К 65-50-160 (сетевой) 2008г., К 65-50-160  (сетевой) 2005г.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Котельная больницы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расположена по адресу: с. Калтук, ул. Советская, 1, строение 4. Здание котельной площадь 678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, возведенное в 1968 году. Котельная работает на твердом топливе – дрова, резерв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электрокотлы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 Имеет 4 котла – 2 котла марки КЭВ-400, и 2 котла «Энергия». Расход топлива 826 т/г. Срок службы котла 10 лет. КЭВ-400 запущены в работу в 1999 году, произведен капитальный ремонт в 2006 и 2008 году, «Энергия» запущены в работу в 1993 году, капитальный ремонт в 2000 и 2004 году. Установлены сетевые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насосы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необходимый расход воды и напор достаточный для покрытия местных сопротивлений. Марки насосов: К 80-65-160 (сетевой) 1998г., К 80-65-160 (сетевой) 2008г., К 50-32-125 (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подпиточный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) 1999г.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теплоснабжения децентрализованная, закрытая, двухтрубная.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Структура тепловых сетей состоит из подающего и обратного трубопроводов, тепловых камер, тепловых узлов и потребителей тепловой энергии села Калтук с зависимой системой присоединения.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Способы прокладки трубопроводов тепловых сетей по селу Калтук: надземная, подземная. Общая протяженность сетей 6043,3 м. Подача питьевой воды осуществляется из подземного водозабора, представленного 5 артезианскими скважинами. Оборудованы скважины глубинными насосами типа ЭЦВ. Вода со скважин поступает на водонапорные  башни. На территории Калтукского сельского поселения располагаются 4 водонапорные башни с пригодной для питья водой: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водонапорная башня, расположенная по адресу ул. Советская 1, строение 9; объемом 50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, используется насос ЭЦВ-6-10-80;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водонапорная башня, расположенная по адресу ул. Гагарина 22, строение 8; объемом 54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, используется насос ЭЦВ-6-10-80;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водонапорная башня, расположенная по адресу ул. Гагарина 22, строение 7; объемом 100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(2 скважины), используются насосы ЭЦВ-6-6,3-125 и ЭЦВ-6-10-120;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водонапорная башня, расположенная по адресу ул. Погодаева 12В, строение 4; объемом 80 м</w:t>
      </w:r>
      <w:r w:rsidRPr="00A35EA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, используется насос ЭЦВ-6-10-120.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водоразборных колонок, в зимнее время присоединенных к электрическим сетям для перебойного функционирования.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Протяжённость водопроводных сетей 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14061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км.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«Развитие объектов коммунальной инфраструктуры»</w:t>
      </w: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направлена на обеспечение надежного и устойчивого обслуживания потребителей коммунальных услуг, снижение износа объектов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коммунальной инфраструктуры, модернизацию этих объектов путем внедрения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технологий, разработку и внедрение мер по энергосбережению, стимулированию эффективного и рационального хозяйствования организаций. Кроме того, Программой предусмотрены мероприятия по благоустройству территории муниципального образования.</w:t>
      </w:r>
    </w:p>
    <w:p w:rsidR="00A35EAE" w:rsidRPr="00A35EAE" w:rsidRDefault="00A35EAE" w:rsidP="00A35EAE">
      <w:pPr>
        <w:spacing w:after="0" w:line="23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На сегодняшний день сфера коммунального обеспечения требует особого внимания в связи с высокой стоимостью энергоресурсов и сверхнормативным износом инженерного оборудования. Это касается как внешних коммуникаций, так и внутренних систем отопления и водоснабжения зданий. Для нормального функционирования объектов жизнеобеспечения необходимо предусмотреть мероприятия по ремонту и восстановлению инженерных систем, модернизации котельных, замене ветхих сетей, которые требуют финансовой поддержки из бюджета всех уровней.</w:t>
      </w:r>
    </w:p>
    <w:p w:rsidR="00A35EAE" w:rsidRPr="00A35EAE" w:rsidRDefault="00A35EAE" w:rsidP="00A35EAE">
      <w:pPr>
        <w:spacing w:after="0" w:line="23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  <w:sectPr w:rsidR="00A35EAE" w:rsidRPr="00A35EAE" w:rsidSect="00A35E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35E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Для снижения затрат на энергоресурсы необходимо предусмотреть мероприятия по энергосбережению и повышению энергетической эффективности в части организации учёта расходования энергоресурсов, контроля за эффективностью их использования и обеспечения снижения расхода.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Жилищно-коммунальное хозяйство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15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8829"/>
        <w:gridCol w:w="2318"/>
        <w:gridCol w:w="2510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Наименование показателя, ед. измерения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Значение показателя на 01.01.2021 г.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Значение показателя на 01.01.2022 г.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Жилищный фонд, всего тыс.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кв.м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. 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 них находятся: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государственной собственности: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федеральной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областной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муниципальной собственности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2,17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2,17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частной собственности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38,23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38,23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собственность предприятий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 квартир, ед.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267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267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Количество приватизированных квартир,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тыс.кв.м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Средняя обеспеченность одного жителя жилой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площадью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,к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spellEnd"/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Число семей, стоящих на учете для получения жилья, ед.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Число семей, получивших жилье и улучшивших жилищные условия в течение 2014 г.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Материал стен жилого фонда, тыс. кв. м.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 том числе: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из монолитного железобетона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крупнопанельные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1,4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1,4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крупноблочные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кирпичные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кирпичные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с облицовкой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мелкоблочные</w:t>
            </w:r>
            <w:proofErr w:type="spellEnd"/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бутовые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шлакобетонные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деревянные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39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39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смешанные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прочие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Благоустройство жилищного фонда (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%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ко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всей жилой площади)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водопроводом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16,33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16,5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канализацией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17,25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17,3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центральным отоплением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7,41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7,33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горячим водоснабжением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7,21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7,13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газоснабжением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электроплитами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36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36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ванными и душевыми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телефонами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мусоропроводами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прочими видами благоустройства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Износ жилья, %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66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66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Основные характеристики котельных, отпускающих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теплоэнергию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населению и на коммунально-бытовые нужды: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количество котельных, </w:t>
            </w:r>
            <w:proofErr w:type="spellStart"/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суммарная мощность источников теплоснабжения Гкал/час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6,09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6,09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протяженность тепловых и паровых сетей в двухтрубном исчислении,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км</w:t>
            </w:r>
            <w:proofErr w:type="gramEnd"/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6,54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6,54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82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.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нуждающиеся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в замене</w:t>
            </w:r>
          </w:p>
        </w:tc>
        <w:tc>
          <w:tcPr>
            <w:tcW w:w="23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5,15</w:t>
            </w:r>
          </w:p>
        </w:tc>
        <w:tc>
          <w:tcPr>
            <w:tcW w:w="2510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5,15</w:t>
            </w: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35EAE" w:rsidRPr="00A35EAE" w:rsidSect="00A35EAE">
          <w:pgSz w:w="16838" w:h="11906" w:orient="landscape" w:code="9"/>
          <w:pgMar w:top="851" w:right="1134" w:bottom="1701" w:left="1134" w:header="0" w:footer="0" w:gutter="0"/>
          <w:cols w:space="708"/>
          <w:docGrid w:linePitch="360"/>
        </w:sect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2.9.6 Уровень развития транспорта и связи, в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т.ч</w:t>
      </w:r>
      <w:proofErr w:type="spell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 характеристика дорог.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транспорта на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16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4120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Показатели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Количество, ед. в год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 Транспорт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Вид транспорта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автобусы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муниципальные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коммерческие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троллейбусы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трамваи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маршрутные такси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метеор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( 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речное сообщение в летний период)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нет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9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 перевезенных пассажиров</w:t>
            </w:r>
          </w:p>
        </w:tc>
        <w:tc>
          <w:tcPr>
            <w:tcW w:w="412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</w:tr>
    </w:tbl>
    <w:p w:rsidR="00A35EAE" w:rsidRPr="00A35EAE" w:rsidRDefault="00A35EAE" w:rsidP="00A35EAE">
      <w:pPr>
        <w:spacing w:before="12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осуществляют перевозку пассажиров по маршруту село Калтук-город Братск, город Братск-село Калтук: ИП Рыбников Роман Степанович.</w:t>
      </w:r>
    </w:p>
    <w:p w:rsidR="00A35EAE" w:rsidRPr="00A35EAE" w:rsidRDefault="00A35EAE" w:rsidP="00A35EAE">
      <w:pPr>
        <w:spacing w:before="120" w:after="6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связи на 2021-2022 </w:t>
      </w:r>
      <w:proofErr w:type="spell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17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9"/>
        <w:gridCol w:w="4401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Показатели 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Количество абонентов, ед.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1. Связь, в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1.1 телефонная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494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1.2 радиотелефонная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1.3 спутниковая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1.4 сотовая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1498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1.5 почтовая</w:t>
            </w: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730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19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401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Услуги местной телефонной связи общего пользования на территории Калтукского муниципального образования оказывает ОАО «Ростелеком», предоставляющий потребителям весь спектр услуг связи и передачи данных.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с. Калтук установлена одна автоматическая телефонная станция (АТС) емкостью 504 абонентских номера</w:t>
      </w:r>
      <w:r w:rsidRPr="00A35EA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Межстанционная связь осуществляется посредством кабельных линий связи. Связь абонентов с АТС осуществляется по воздушным линиям связи.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 услуги местной телефонной связи так же входит использование таксофонов и средств коллективного доступа, переговорных пунктов. На территории муниципального образования коллективный доступ в интернет предоставляет ФГУП «Почта России».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Услуги мобильной связи на территории Калтукского муниципального образования предоставляют операторы сети сотовой подвижной связи (СПС):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ОАО «МегаФон» (торговая марка «Мегафон», стандарт GSM 900/1800);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ЗАО «</w:t>
      </w:r>
      <w:proofErr w:type="spellStart"/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Байкалвестком</w:t>
      </w:r>
      <w:proofErr w:type="spellEnd"/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» (торговая марка «БВК», стандарт GSM 900/1800).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lastRenderedPageBreak/>
        <w:t xml:space="preserve">АО «Национальная Башенная Компания» (торговая марка «Билайн», стандарт GSM 900/1800)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установлены </w:t>
      </w:r>
      <w:r w:rsidRPr="00A35EAE">
        <w:rPr>
          <w:rFonts w:ascii="Arial" w:eastAsia="Calibri" w:hAnsi="Arial" w:cs="Arial"/>
          <w:sz w:val="24"/>
          <w:szCs w:val="24"/>
          <w:lang w:eastAsia="ru-RU"/>
        </w:rPr>
        <w:t xml:space="preserve">три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антенно-мачтовых сооружения для размещения оборудования операторов мобильной связи. Сетью мобильной связи покрыта вся территория Поселения.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нет проводного радиовещания. Жители принимают телевизионный сигнал от телевизионного ретранслятора села Калтук. Охват населения телевизионным вещанием составляет: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«Первый канал» - 100%;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ТК «Россия» + ИГТРК - 100%.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перечень услуг связи, оказываемых населению Калтукского муниципального образования, достаточно широкий. Услуги предоставляются как с помощью средств фиксированной связи, так и на основе средств подвижной сотовой связи и абонентского радиодоступа. Уровень обеспечения услугами связи населения оценивается как высокий.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Анализ перечня услуг связи, предоставляемых населению, показал, что в целом системы телекоммуникаций Калтукского муниципального образования обеспечивают необходимый уровень обслуживания. Однако по отдельным направлениям существуют потенциальные возможности увеличения объема и улучшения качества предоставления услуг связи.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дорог.</w:t>
      </w:r>
    </w:p>
    <w:p w:rsidR="00A35EAE" w:rsidRPr="00A35EAE" w:rsidRDefault="00A35EAE" w:rsidP="00A35E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 территории Калтукского муниципального образования проходят следующие автомобильные дороги общего пользования, соответствующие классу "обычная автомобильная дорога":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местного значения IV категории, общей протяженностью в границах 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поселения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16,453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км;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местного значения V категории, общей протяженностью в границах 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поселения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6,727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км.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Для обеспечения удобства обслуживания автомобильного транспорта на территории  Калтукского муниципального образования вне границ населённых пунктов на автомобильных дорогах общего пользования местного значения располагаются следующие объекты транспортной инфраструктуры: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A35EAE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автодорожный мост - 4 объект</w:t>
      </w:r>
      <w:r w:rsidRPr="00A35EA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а.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сведения о составе и техническом состоянии дорог на 2021-2022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Имеется в наличии грунтовая  и асфальтовая дорога. Внутри поселковая дорога протяженностью 23,180 км.  Требуется капитальный ремонт. 100 % дорог не соответствует нормативным требованиям к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транспортно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эксплуатационным показателям.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2.9.7. Уровень развития малого и среднего предпринимательства и его роль в социально – экономическом развитии муниципального образования.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 территории Калтукского муниципального образования экономическую деятельность осуществляют 13 индивидуальных предпринимателей из них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- 11 осуществляют розничную торговлю;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 в сфере сельского хозяйства;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- 1 перевозка людей.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территории Калтукского муниципального образования осуществляет деятельность в сфере жилищного коммунального хозяйства - МУП «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Теплосервис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2.9.8. Оценка состояния окружающей среды.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Сельская свалка твердых бытовых отходов расположена на расстоянии 500 метров с юго-восточной стороны села, расстояние до ближайшего жилого дома поселка 980 метров. Рельеф спокойный. Господствующее направление ветра – запад, северо-запад. С северной стороны участка на расстоянии 400-500 метров – сельское кладбище. Сооружений подлежащих демонтажу – нет. Расстояние до ближайшего открытого водоема – Братское водохранилище 1800-2000 метров. В соответствие требований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2.2.1./2.1.1.1200-03 «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Санитарно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защитные зоны и санитарная классификация предприятий, сооружений и иных объектов» - объект относится ко 2 классу (участок компостирования твердых бытовых отходов) и должен иметь радиус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санитарно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защитной зоны = 500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метроы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по периметру. По результатам выполненных лабораторных исследований (атмосферного воздуха, почвы, радиологии) – влияние объекта на населенный пункт и жителей села – не установлено.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.Основные проблемы социально-экономического развития поселения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18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52"/>
        <w:gridCol w:w="92"/>
        <w:gridCol w:w="3402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Фактор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Преимущества</w:t>
            </w: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Недостатки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 Географическое положение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привлекательная природная среда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периферийное положение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суровые климатические условия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 Население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постоянного населения адаптированного к местным условиям жизни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Сложная демографическая ситуаци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я(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естественная и миграционная убыль населения)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безработица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высокая доля людей пенсионного возраста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недостаток квалифицированных кадров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 Экология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отсутствие факторов промышленного загрязнения природной среды</w:t>
            </w: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несанкционированных свалок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 Жилищная сфера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земельных участков для индивидуального строительства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низкий уровень благоустройства жилья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большая степень износа жилого фонда;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-нехватка жилья для молодых специалистов и молодых семей;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брошенного жилья, которое создает угрозу возникновению пожаров.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5. Инженерная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инфраструктура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- бесперебойное и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надежное обеспечение потребителей электроэнергией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телефонной станции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- плохое состояние улиц,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дорог и площадей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отсутствие системы утилизации бытовых отходов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6. Социальная инфраструктура</w:t>
            </w:r>
          </w:p>
        </w:tc>
        <w:tc>
          <w:tcPr>
            <w:tcW w:w="354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создана развитая социальная инфраструктура (учреждения образования, здравоохранения, культуры)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0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- 100 % износ здания МКОУ Калтукская СОШ,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Недостаток мест для проведения досуга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недостаток бюджетных средств на социальное развитие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251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7. Экономика</w:t>
            </w:r>
          </w:p>
        </w:tc>
        <w:tc>
          <w:tcPr>
            <w:tcW w:w="3452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неиспользуемых сельскохозяйственных земель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благоприятная инвестиционная среда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наличие  земельных участков для развития промышленного производства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494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слабая инвестиционная активность внешних  инвесторов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слабая система бытового обслуживания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слабая инвестиционная активность населения</w:t>
            </w:r>
          </w:p>
        </w:tc>
      </w:tr>
    </w:tbl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Благоприятные возможности и возможные угрозы развития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A35EAE" w:rsidRPr="00A35EAE" w:rsidRDefault="00A35EAE" w:rsidP="00A35E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Таблица 19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3860"/>
        <w:gridCol w:w="10"/>
        <w:gridCol w:w="3317"/>
      </w:tblGrid>
      <w:tr w:rsidR="00A35EAE" w:rsidRPr="00A35EAE" w:rsidTr="00A35EAE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Фактор</w:t>
            </w:r>
          </w:p>
        </w:tc>
        <w:tc>
          <w:tcPr>
            <w:tcW w:w="38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Благоприятные возможности</w:t>
            </w:r>
          </w:p>
        </w:tc>
        <w:tc>
          <w:tcPr>
            <w:tcW w:w="3327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Возможные угрозы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7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 Демографические процессы</w:t>
            </w:r>
          </w:p>
        </w:tc>
        <w:tc>
          <w:tcPr>
            <w:tcW w:w="38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рост населения за счет увеличения рождаемости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реализация национальных проектов «Здоровье», «Образование», «Жилище»</w:t>
            </w:r>
          </w:p>
        </w:tc>
        <w:tc>
          <w:tcPr>
            <w:tcW w:w="3327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старение общества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отток трудоспособного населения, молодежи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227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 Экономика</w:t>
            </w:r>
          </w:p>
        </w:tc>
        <w:tc>
          <w:tcPr>
            <w:tcW w:w="387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экономический подъем как в субъекте РФ, так и в стране в целом</w:t>
            </w:r>
          </w:p>
        </w:tc>
        <w:tc>
          <w:tcPr>
            <w:tcW w:w="331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отсутствие государственной поддержки сельхозпредприятиям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рост цен на топливо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диспаритет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цен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изношенность материально-технической базы предприятий</w:t>
            </w: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227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 Местное самоуправление – законодательные решения</w:t>
            </w:r>
          </w:p>
        </w:tc>
        <w:tc>
          <w:tcPr>
            <w:tcW w:w="387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рост самостоятельности муниципального уровня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31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недостаток финансовых сре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дств дл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я выполнения возложенных полномочий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227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4.Экология</w:t>
            </w:r>
          </w:p>
        </w:tc>
        <w:tc>
          <w:tcPr>
            <w:tcW w:w="3870" w:type="dxa"/>
            <w:gridSpan w:val="2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развитие лесозаготовительной отрасли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рост сельского хозяйства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развитие экономического потенциала территории</w:t>
            </w:r>
          </w:p>
        </w:tc>
        <w:tc>
          <w:tcPr>
            <w:tcW w:w="3317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Критическое состояние в сфере обращения с отходами производства и потребления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- Отсутствие системы вторичной переработки отходов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Трудности при оформлении документации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на площадки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временного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- хранения отходов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в сельских поселениях с небольшой численностью населения в связи с ужесточенными требованиями законодательства РФ в области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обращения с отходами.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IV</w:t>
      </w: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.Оценка действующих мер по улучшению социально-экономического положения муниципального образования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Администрацией Калтукского сельского поселения разработаны и утверждены муниципальные программы, которые представлены в приложении 1.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1. Муниципальные финансы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основным инструментом, посредством которого органы местного самоуправления обеспечивают реализацию основных стратегических целей социально-экономического развития поселения, создают условия для обеспечения стабильности и повышения уровня и качества жизни населения.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 повышение качества управления муниципальными финансами, создание условий для эффективного и ответственного управления муниципальными финансами.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Вместе с тем, в целях реализации стратегической цели по совершенствованию системы управления в Калтукском  муниципальном образовании необходимо решение ряда проблем.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1. Отсутствие прироста собственной доходной базы бюджета поселения, а также слабая положительная динамика в перспективе.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 решения по оптимизации расходов, их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приоритизации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необходимости решения задач, поставленных в «майских» Указах Президента Российской Федерации 2012 года, и наращиванию собственных доходов бюджета.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3. Не развиты инструменты, обеспечивающие открытость и прозрачность бюджета и бюджетного процесса в понятной для населения форме, содержащие объяснения основных целей, задач бюджетной политики, обоснование расходов бюджета поселения и описание достигнутых результатов.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позволит обеспечить: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1. К 2027 году уровень муниципального долга не более 50% утвержденного общего годового объема доходов бюджета Калтукского муниципального образования без учета утвержденного объема безвозмездных поступлений;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2. Ежегодный темп роста поступлений налоговых и неналоговых доходов бюджета Калтукского муниципального образования не менее 100% (с учетом изменений бюджетного и налогового законодательства).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Программа «Развитие дорожного хозяйства в Калтукском МО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разработана в соответствии с Федеральным законом №196 РФ от 10.12.1995г. «О безопасности дорожного движения» с учетом экономических условий Калтукского МО, в которых осуществляются мероприятия по обеспечению  безопасности дорожного  движения на автомобильных  дорогах местного значения в границах населенного пункта Калтукского муниципального образования.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 - повышение уровня безопасности дорожного движения на автомобильных дорогах местного значения.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Способы ограничения финансового риска: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а) ежегодное уточнение объема финансовых средств исходя из возможностей бюджета Калтукского МО;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позволит к 2025 г. достичь: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1. Площадь дорожного полотна, в отношении которого произведен ремонт – 23,68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3. Муниципальная программа «Развитие объектов коммунальной инфраструктуры»</w:t>
      </w: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направлена на обеспечение надежного и устойчивого обслуживания потребителей коммунальных услуг, снижение износа объектов коммунальной инфраструктуры, модернизацию этих объектов путем внедрения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технологий, разработку и внедрение мер по энергосбережению, стимулированию эффективного и рационального хозяйствования организаций. Кроме того, Программой предусмотрены мероприятия по благоустройству территории муниципального образования.</w:t>
      </w:r>
    </w:p>
    <w:p w:rsidR="00A35EAE" w:rsidRPr="00A35EAE" w:rsidRDefault="00A35EAE" w:rsidP="00A35EAE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Целью Программы является повышение уровня жизни населения, снижение энергоемкости в сфере производства и потребления коммунальных услуг. </w:t>
      </w:r>
    </w:p>
    <w:p w:rsidR="00A35EAE" w:rsidRPr="00A35EAE" w:rsidRDefault="00A35EAE" w:rsidP="00A35EAE">
      <w:pPr>
        <w:widowControl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Достижение выполнения цели Программы будет характеризоваться следующими целевыми показателями: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1) Показатели состояния объектов коммунального назначения, в том числе: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процентная доля  котельных, на которые получены акты готовности к отопительному сезону, по отношению к общему количеству котельных МО.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процентная доля ветхих инженерных сетей по отношению к общей протяжённости инженерных сетей (по видам сетей);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2) Показатели динамики расхода энергетических ресурсов и воды (по видам ресурсов);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3) Показатели степени благоустройства населённых пунктов (по видам объектов благоустройства). 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ежегодно получать на все котельные муниципального образования акты готовности к отопительному сезону, являющиеся свидетельством выполнения всех основных условий готовности теплоисточников;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к началу 2025 года снижение доли ветхих инженерных сетей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30%;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достигнуть к началу 2025 года снижения расхода энергоресурсов и воды на 15 % в сравнении с расходом энергоресурсов и воды в 2014 году; 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повысить показатели благоустройства населённых пунктов муниципального образования к началу 2025 года в сравнении с базовым периодом 2014 года на 20%.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Муниципальная программа Развитие физической культуры и спорта  в Калтукском МО.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  вовлечение широких слоев населения в активное занятие спортом для полноценного физического и духовного развития граждан и профилактики заболеваний, правонарушений.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может быть подвержена влиянию следующих рисков: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позволит к 2025 г. обеспечить: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1. Удельный вес населения, систематически занимающегося физической культурой и спортом - 15%.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Муниципальная программа «Культура на 2015 – 2025 годы Калтукского муниципального образования».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Основная цель муниципальной программы – сохранение и развитие культурного потенциала.</w:t>
      </w:r>
    </w:p>
    <w:p w:rsidR="00A35EAE" w:rsidRPr="00A35EAE" w:rsidRDefault="00A35EAE" w:rsidP="00A35EAE">
      <w:pPr>
        <w:tabs>
          <w:tab w:val="left" w:pos="1276"/>
        </w:tabs>
        <w:suppressAutoHyphens/>
        <w:spacing w:after="0" w:line="100" w:lineRule="atLeast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В рамках реализации муниципальной программы могут быть выделены следующие риски. </w:t>
      </w:r>
    </w:p>
    <w:p w:rsidR="00A35EAE" w:rsidRPr="00A35EAE" w:rsidRDefault="00A35EAE" w:rsidP="00A35EAE">
      <w:pPr>
        <w:tabs>
          <w:tab w:val="left" w:pos="1134"/>
        </w:tabs>
        <w:suppressAutoHyphens/>
        <w:autoSpaceDE w:val="0"/>
        <w:spacing w:after="0" w:line="100" w:lineRule="atLeast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ar-SA"/>
        </w:rPr>
        <w:t>Кадровые риски обусловлены дефицитом высококвалифицированных кадров в учреждениях культурно-досугового типа, что снижает эффективность работы и качество предоставляемых услуг.</w:t>
      </w:r>
    </w:p>
    <w:p w:rsidR="00A35EAE" w:rsidRPr="00A35EAE" w:rsidRDefault="00A35EAE" w:rsidP="00A35EAE">
      <w:pPr>
        <w:widowControl w:val="0"/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ar-SA"/>
        </w:rPr>
        <w:t>Реализация муниципальной программы предполагает достижение следующих результатов в сфере культуры в 2025 году:</w:t>
      </w:r>
    </w:p>
    <w:p w:rsidR="00A35EAE" w:rsidRPr="00A35EAE" w:rsidRDefault="00A35EAE" w:rsidP="00A35EAE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5EAE">
        <w:rPr>
          <w:rFonts w:ascii="Arial" w:eastAsia="Times New Roman" w:hAnsi="Arial" w:cs="Arial"/>
          <w:sz w:val="24"/>
          <w:szCs w:val="24"/>
          <w:lang w:eastAsia="ar-SA"/>
        </w:rPr>
        <w:t xml:space="preserve">1. Увеличение численности участников культурно-досуговых мероприятий до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7,8 тыс. чел.;</w:t>
      </w:r>
    </w:p>
    <w:p w:rsidR="00A35EAE" w:rsidRPr="00A35EAE" w:rsidRDefault="00A35EAE" w:rsidP="00A35EAE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5EAE">
        <w:rPr>
          <w:rFonts w:ascii="Arial" w:eastAsia="Times New Roman" w:hAnsi="Arial" w:cs="Arial"/>
          <w:sz w:val="24"/>
          <w:szCs w:val="24"/>
          <w:lang w:eastAsia="ar-SA"/>
        </w:rPr>
        <w:t xml:space="preserve">2. Повышение уровня удовлетворённости жителей качеством предоставления муниципальных услуг в сфере культуры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 90% .</w:t>
      </w:r>
    </w:p>
    <w:p w:rsidR="00A35EAE" w:rsidRPr="00A35EAE" w:rsidRDefault="00A35EAE" w:rsidP="00A35EAE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3. Увеличение доли учреждений культуры, отвечающих требованиям пожарной безопасности до 100%.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6. «Пожарная безопасность, предупреждение и ликвидация чрезвычайных ситуаций в Калтукском МО» на 2015 – 2025 годы Калтукского муниципального образования.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 повышение безопасности жизнедеятельности населения Калтукского МО.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может быть подвержена влиянию следующих рисков: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позволит к 2025 г. достичь: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1.  Количество обученных специалистов ГОЧС  - 1 единица.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2. Количество мероприятий по профилактике пожаров и предупреждению чрезвычайных ситуаций – 9 ед.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3. Обеспечение населения и работников Калтукского МО средствами индивидуальной защиты (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СИЗ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) в количестве 250 штук.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4. Обучение населения в области гражданской обороны, защите населения и территорий от чрезвычайных ситуаций природного и техногенного характера, обучения неработающего населения способам  защиты в чрезвычайных ситуациях мирного и военного времени в полном объёме в УКП.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5. Модернизация и обслуживание системы оповещения населения об угрозе или возникновении чрезвычайных ситуаций природного и техногенного характера.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6. Изготовление и установка указателей, предупреждающих аншлагов, объясняющих правила отдыха на водоёмах   в местах неорганизованного массового отдыха населения.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«Формирование комфортной городской среды на территории Калтукского муниципального образования на 2018-2024 годы».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 повышение качества и комфорта городской среды на территории Калтукского муниципального образования.</w:t>
      </w:r>
    </w:p>
    <w:p w:rsidR="00A35EAE" w:rsidRPr="00A35EAE" w:rsidRDefault="00A35EAE" w:rsidP="00A35EA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35EAE">
        <w:rPr>
          <w:rFonts w:ascii="Arial" w:eastAsia="Calibri" w:hAnsi="Arial" w:cs="Arial"/>
          <w:sz w:val="24"/>
          <w:szCs w:val="24"/>
        </w:rPr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A35EAE" w:rsidRPr="00A35EAE" w:rsidRDefault="00A35EAE" w:rsidP="00A35EA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35EAE">
        <w:rPr>
          <w:rFonts w:ascii="Arial" w:eastAsia="Calibri" w:hAnsi="Arial" w:cs="Arial"/>
          <w:sz w:val="24"/>
          <w:szCs w:val="24"/>
        </w:rPr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A35EAE" w:rsidRPr="00A35EAE" w:rsidRDefault="00A35EAE" w:rsidP="00A35EA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35EAE">
        <w:rPr>
          <w:rFonts w:ascii="Arial" w:eastAsia="Calibri" w:hAnsi="Arial" w:cs="Arial"/>
          <w:sz w:val="24"/>
          <w:szCs w:val="24"/>
        </w:rPr>
        <w:t>Комплексное благоустройство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Также Думой Калтукского сельского поселения разработаны и приняты следующие Программы: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комплексного развития социальной инфраструктуры Калтукского сельского поселения на 2017-2032 годы.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создание материальной базы развития социальной инфраструктуры для обеспечения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повышения качества жизни населения поселения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Разработка проектов планировки территории и межевание земельных участков под строительство объектов социальной инфраструктуры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-разработка проектно-сметной документации по строительству и реконструкции объектов социальной сферы,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-строительство и реконструкция объектов социальной инфраструктуры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-строительство социального жилья, индивидуальное жилищное строительство. Ожидаемые конечные результаты программы: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- повышение качества, комфортности и уровня жизни населения Калтукского сельского поселения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-Обеспеченность граждан жильём,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-нормативная доступность и обеспеченность объектами социальной инфраструктуры жителей сельского поселения.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«Комплексного развитие систем транспортной инфраструктуры на территории Калтукского сельского поселения Братского района Иркутской области на 2017-2032 годы.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Комплексное развитие транспортной инфраструктуры Калтукского сельского поселения. 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автомобильный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Транспортная связь с районным, областным и населенными пунктами будет осуществляться общественным транспортом (автобусное сообщение, такси), внутри населенных пунктов личным транспортом и пешеходное сообщение.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эксплутационное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может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proofErr w:type="gramEnd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униципальная Программа комплексного развития коммунальной инфраструктуры Калтукского сельского поселения в 2016-2032 годах.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Основная цель Программы - повышение уровня жизни населения, повышение устойчивости и эффективности работы объектов жизнеобеспечения.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Успешная реализация данной Программы позволит: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обеспечить более комфортные условия проживания населения путем развития системы коммунальной инфраструктуры и повышения качества предоставления коммунальных услуг;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-.повысить надежность и эффективность работы объектов коммунального назначения;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снизить потребление энергетических ресурсов и оптимизировать расходы на финансирование мероприятий по поддержанию жизнеспособности объектов коммунальной инфраструктуры;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- решить стратегическую задачу привлечения инвестиций для модернизации и развития жилищно-коммунального комплекса.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разработанной Программы - экономическая основа снижения издержек на производство услуг при реформировании жилищно-коммунального хозяйства.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 Резервы (ресурсы) социально- экономического развития поселения.</w:t>
      </w:r>
      <w:proofErr w:type="gramEnd"/>
    </w:p>
    <w:p w:rsidR="00A35EAE" w:rsidRPr="00A35EAE" w:rsidRDefault="00A35EAE" w:rsidP="00A35EA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5.1. Наличие земельных ресурсов.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Рациональное использование земельных ресурсов имеет большое значение в экономике сельского хозяйства. В сельском хозяйстве получение продукции связано с качественным состоянием земли, с характером и условиями ее использования. Она является важной производительной силой, без которой немыслим процесс сельскохозяйственного производства. Земля в сельском хозяйстве функционирует в качестве предмета труда, когда человек воздействует на ее верхний горизонт – почву и создает необходимые условия для роста и развития сельскохозяйственных культур.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Земельные ресурсы в сельском хозяйстве обладают рядом специфических особенностей, которые существенно отличают их от других сре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оизводства и оказывают большое влияние на экономику сельскохозяйственного производства.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Отдельные участки земли по своему плодородию не однородны. Одни из них содержат больше питательных веществ, другие лучше обеспечены влагой, третьи имеют совершенно другую структуру почвы и т.д. Вследствие этого при равных вложениях труда и средств на единицу площади возникают различия в количестве получаемой продукции. Под воздействием труда человека эти различия 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сглаживаться, так и усугубляться, оказывая влияние на выход продукции в расчете на среднегодового работника, себестоимость и другие экономические показатели экономической эффективности сельскохозяйственного производства. Неправильное использование земли может в конечном итоге свести на нет роль и значение всех остальных факторов производства.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отмеченные особенности земли как средства производства лежат в основе теории и практики рационального земледелия. Человек может активно воздействовать на плодородие почвы. Уровень этого воздействия определяется состоянием развития производственных сил, степенью их технологического применения в сельском хозяйстве (использование достижений науки и техники, прогрессивных технологий производства, передовой практики и т.д.).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Естественное (потенциальное) плодородие почвы рассматривается как результат длительного почвообразующего процесса. Оно определяется запасами питательных веществ, их доступностью для растения, физическими, механическими и другими свойствами почвенного слоя земли, сформировавшегося на исходных породах в условиях определенного климата.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Искусственное плодородие почвы - это результат многогранного воздействия человека на почву с помощью обработки, внесения минеральных и органических удобрений, осуществления мелиоративных и почвозащитных работ, других мероприятий.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Экономическое (эффективное) плодородие почвы представляет собой синтез естественного и искусственного плодородия. Оно образуется в результате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использования природных ресурсов почвы и пополнения недостающих питательных веществ, улучшения ее физических и других свойств. Экономическое плодородие в значительной степени зависит от уровня развития научно-технического прогресса.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Земельные ресурсы как объекты собственности и хозяйствования учитываются: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целевому назначению (основу которого составляет распределение земель по категориям);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хозяйственному использованию (основанному на классификации угодий по видам и подвидам);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административно-территориальному делению (в основу которого заложено распределение земель по землепользователям).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основным целевым назначением различают земли: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-сельскохозяйственного назначения;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-населенных пунктов (городов, поселков и сельских населенных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пунктов);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-промышленности, транспорта, связи, радиовещания, телевидения, информатики и космического обеспечения, энергетики, обороны и иного назначения;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-природоохранного, </w:t>
      </w:r>
      <w:proofErr w:type="spell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природозаповедного</w:t>
      </w:r>
      <w:proofErr w:type="spell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историко-культурного назначения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-лесного фонда;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-водного фонда;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-запаса.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землям сельскохозяйственного назначения относят всю территорию, предоставленную сельскохозяйственным товаропроизводителям и предназначенную для ведения сельского хозяйства. Их основу составляют сельскохозяйственные угодья. Площадь земель сельскохозяйственного назначения составляет 10581 га.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Минерально-сырьевые ресурсы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Минерально-сырьевая база Калтукского муниципального образования представлена строительными камнями, подземными пресными водами.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севере Калтукского муниципального образования, вблизи с. Калтук, расположено Калтукское месторождение строительного камня (алевролит). Местонахождение находится в резерве.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с. Калтук расположен водозабор пресных питьевых подземных вод. На участок водозабора выдана лицензия ИРК02484ВЭ на добычу вод в с. 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Покосное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(скважина №1-Э), с. Калтук (скважина №1-К), с. Кузнецовка (скважина № 49). Владельцем лицензии является ОАО Дорожная служба Иркутской области.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Генеральным планом вне границ населенных пунктов сформирована зона производственного и коммунально-складского назначения площадью – 0,3 га, зона сельскохозяйственного использования (без учета зоны личного подсобного хозяйства) – 5,4 </w:t>
      </w:r>
      <w:proofErr w:type="spell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тыс.га</w:t>
      </w:r>
      <w:proofErr w:type="spell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Проектными решениями генерального плана предусмотрено размещение хлебозавода, ремонтно-механических мастерских, крестьянско-фермерского хозяйства 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Калтук.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Генеральным планом в с. Калтук сформирована зона производственного и коммунально-складского назначения площадью 20,7 га, сельскохозяйственного использования (без учета зоны личного подсобного хозяйства) – 28,9 га.</w:t>
      </w:r>
      <w:proofErr w:type="gramEnd"/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5.3. Трудовые ресурсы.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Трудовые ресурсы Калтукского муниципального образования 2021-2022 </w:t>
      </w:r>
      <w:proofErr w:type="spellStart"/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г.</w:t>
      </w:r>
      <w:proofErr w:type="gramStart"/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Калтукского муниципального образования трудоспособного населения в сравнении с 2021 годом уменьшилось на 198 человек, безработных уменьшилось  на 14 человек, пенсионеров уменьшилось на 16 человек и инвалидов уменьшилось на 16 человек.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34956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VI</w:t>
      </w: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A35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Миссия, стратегические цели, задачи и перечень наиболее крупных мероприятий и инвестиционных проектов, направленных на решение проблемных вопросов в муниципальном образовании в долгосрочной перспективе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Основной целью Стратегии является повышение уровня и качества жизни населения Калтукского муниципального образования.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поставленной цели возможно на основе устойчивого и качественного развития экономики Калтукского муниципального образования.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свидетельством достижения поставленной цели будет являться повышение уровня жизни и сокращение миграционного оттока населения.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приоритеты социально-экономического развития Калтукского муниципального образования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851"/>
        </w:tabs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1. Обеспечение достойных условий жизни;</w:t>
      </w:r>
    </w:p>
    <w:p w:rsidR="00A35EAE" w:rsidRPr="00A35EAE" w:rsidRDefault="00A35EAE" w:rsidP="00A35EAE">
      <w:pPr>
        <w:tabs>
          <w:tab w:val="left" w:pos="851"/>
        </w:tabs>
        <w:spacing w:after="0"/>
        <w:ind w:left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2. Создание возможностей для работы и бизнеса;</w:t>
      </w:r>
    </w:p>
    <w:p w:rsidR="00A35EAE" w:rsidRPr="00A35EAE" w:rsidRDefault="00A35EAE" w:rsidP="00A35EAE">
      <w:pPr>
        <w:tabs>
          <w:tab w:val="left" w:pos="851"/>
        </w:tabs>
        <w:spacing w:after="0"/>
        <w:ind w:left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3. Повышение эффективности государственного муниципального управления.</w:t>
      </w:r>
    </w:p>
    <w:p w:rsidR="00A35EAE" w:rsidRPr="00A35EAE" w:rsidRDefault="00A35EAE" w:rsidP="00A35EAE">
      <w:pPr>
        <w:tabs>
          <w:tab w:val="left" w:pos="851"/>
        </w:tabs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выбранных стратегических задач в долгосрочной перспективе необходимо решить комплекс задач по следующим направлениям.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_Toc468119842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1. Обеспечение достойных условий жизни</w:t>
      </w:r>
      <w:bookmarkEnd w:id="2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предусматривает решение комплекса задач: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Задача 1.1 –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повышение доступности качественного образования, обеспечение его соответствия потребностям социально-экономического развития.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 повышение качества общего образования. 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Развитие и обновление сети образовательных организаций.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системы дополнительного образования.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1.2.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A35EAE" w:rsidRPr="00A35EAE" w:rsidRDefault="00A35EAE" w:rsidP="00A35EAE">
      <w:pPr>
        <w:tabs>
          <w:tab w:val="left" w:pos="0"/>
          <w:tab w:val="left" w:pos="567"/>
          <w:tab w:val="left" w:pos="1134"/>
        </w:tabs>
        <w:spacing w:after="0"/>
        <w:ind w:firstLine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реализации задачи: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оптимальной сбалансированности объемов медицинской помощи в соответствии с имеющимися ресурсами и потребностями населения</w:t>
      </w:r>
      <w:r w:rsidRPr="00A35E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количественного и качественного роста 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медицинских организаций.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информатизации здравоохранения.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повышения удовлетворенности населения 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оказываемой медицинской помощью.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b/>
          <w:iCs/>
          <w:spacing w:val="-1"/>
          <w:sz w:val="24"/>
          <w:szCs w:val="24"/>
          <w:shd w:val="clear" w:color="auto" w:fill="FFFFFF"/>
          <w:lang w:eastAsia="ru-RU"/>
        </w:rPr>
      </w:pP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iCs/>
          <w:spacing w:val="-1"/>
          <w:sz w:val="24"/>
          <w:szCs w:val="24"/>
          <w:shd w:val="clear" w:color="auto" w:fill="FFFFFF"/>
          <w:lang w:eastAsia="ru-RU"/>
        </w:rPr>
        <w:t>Задача 1.3.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устойчивой потребности ведения здорового образа жизни, регулярных занятий физической культурой и спортом у всех возрастных групп населения. 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регулярных самостоятельных занятий физической культурой и спортом.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Подготовка спортсменов высокого класса и проведение спортивных мероприятий на территории Братского района.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Формирование спортивного резерва.</w:t>
      </w:r>
    </w:p>
    <w:p w:rsidR="00A35EAE" w:rsidRPr="00A35EAE" w:rsidRDefault="00A35EAE" w:rsidP="00A35EAE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 технической базы и развитие спортивной инфраструктуры.</w:t>
      </w: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Задача 1.4. –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культурного потенциала личности и укрепление гражданского единства. 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Укрепление материально-технической базы учреждения культуры. Повышение квалификации работников учреждения культуры Калтукского муниципального образования.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1.5.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– обеспечение успешной социализации развитие созидательной активности и эффективной самореализации молодежи.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35EAE">
        <w:rPr>
          <w:rFonts w:ascii="Arial" w:eastAsia="Times New Roman" w:hAnsi="Arial" w:cs="Arial"/>
          <w:iCs/>
          <w:sz w:val="24"/>
          <w:szCs w:val="24"/>
          <w:lang w:eastAsia="ru-RU"/>
        </w:rPr>
        <w:t>рганизация и проведение  комплекса  мероприятий по профилактике социально-негативных явлений для несовершеннолетних, молодежи Калтукского муниципального образования.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iCs/>
          <w:sz w:val="24"/>
          <w:szCs w:val="24"/>
          <w:lang w:eastAsia="ru-RU"/>
        </w:rPr>
        <w:t>Г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ражданское воспитание молодых людей на основе отечественных духовно - нравственных и культурных традиций и ценностей, исторического наследия народов России и допризывная подготовка молодежи.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Пропаганда семейных ценностей среди молодежи,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позитивного отношения к институту семьи;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укрепление института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семьи.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деятельности, обеспечивающей социальную сплоченность общества, профилактику экстремизма  и предотвращение национальных конфликтов.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Задача 1.6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– повышение эффективности и усиление адресной направленности мер по социальной защите населения и граждан, оказавшихся в трудной жизненной ситуации.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Усиление адресности подхода к предоставлению мер социальной поддержки.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доступности социальных услуг для населения. </w:t>
      </w:r>
    </w:p>
    <w:p w:rsidR="00A35EAE" w:rsidRPr="00A35EAE" w:rsidRDefault="00A35EAE" w:rsidP="00A35EAE">
      <w:pPr>
        <w:tabs>
          <w:tab w:val="left" w:pos="0"/>
          <w:tab w:val="left" w:pos="24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уровня доступности приоритетных объектов и услуг в приоритетных сферах жизнедеятельности (в сфере социальной защиты населения, здравоохранения, образования, транспортной инфраструктуры, культуры, физической культуры и спорта) инвалидов и других маломобильных групп населения в Калтукском муниципальном образовании, преодоление социальной разобщенности в обществе.</w:t>
      </w:r>
    </w:p>
    <w:p w:rsidR="00A35EAE" w:rsidRPr="00A35EAE" w:rsidRDefault="00A35EAE" w:rsidP="00A35EAE">
      <w:pPr>
        <w:tabs>
          <w:tab w:val="left" w:pos="0"/>
          <w:tab w:val="left" w:pos="24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Задача 1.7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– укрепление гражданского единства многонационального народа в Калтукском муниципальном образовании.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уважения к историческому наследию и культурным ценностям народов России, сохранение этнокультурной самобытности.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социокультурной адаптации мигрантов. 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системы профилактических мер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антиэкстремистской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направленности, предупреждение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ксенофобных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проявлений.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Задача 1.8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Обеспечение комплексных мер противодействия чрезвычайным ситуациям и охрана общественного порядка.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Обеспечение оперативности и эффективности при тушении пожаров.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Проведение мероприятий по организации обучения населения мерам пожарной безопасности, а также информирование населения о мерах пожарной безопасности.</w:t>
      </w:r>
    </w:p>
    <w:p w:rsidR="00A35EAE" w:rsidRPr="00A35EAE" w:rsidRDefault="00A35EAE" w:rsidP="00A35EAE">
      <w:pPr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организационных мер по повышению уровня межведомственного взаимодействия и взаимодействия с институтами гражданского общества в сфере профилактики преступлений и иных правонарушений, в том числе в сфере профилактики террористических и экстремистских проявлений. </w:t>
      </w:r>
    </w:p>
    <w:p w:rsidR="00A35EAE" w:rsidRPr="00A35EAE" w:rsidRDefault="00A35EAE" w:rsidP="00A35EAE">
      <w:pPr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Реализация дополнительных мер по обеспечению общественного порядка и личной безопасности граждан на улицах и в общественных местах и создание условий комфортного и безопасного проживания населения.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1.9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повышение качества предоставляемых жилищно-коммунальных услуг, модернизация и развитие жилищно-коммунального хозяйства.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предоставления коммунальных услуг по теплоснабжению, водоснабжению и водоотведению, создание безопасных и благоприятных условий проживания граждан на территории Калтукского муниципального образования.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Переход к экономически обоснованной жилищной политике, снижение затрат на предоставление коммунальных услуг.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1.10.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сельхозпроизводителей муниципального образования в 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обеспечении продовольственной безопасности Иркутской области.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увеличения объемов производства и переработки основных видов продукции растениеводства.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увеличения объемов производства и переработки продукции животноводства, направленных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ускоренное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импортозамещение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Стимулирование внедрения новых технологий и приобретения сельскохозяйственными товаропроизводителями высокотехнологичных машин и оборудования.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Стимулирование производства высококачественных семян сельскохозяйственных культур, высокопродуктивных пород животных, организация устойчивой системы ветеринарного обеспечения, внедрение современных методов управления и системы контроля качества и безопасности продовольственного сырья и пищевой продукции.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Расширение возможностей по срокам хранения, оптимизации условий поставок продуктов питания для всех социальных групп населения.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выставочно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-ярмарочной деятельности с участием местных производителей товаров.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 малых форм хозяйствования и кооперации в сельской местности.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 социальной инфраструктуры, повышение доступности социальных услуг.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Создание условий для развития жилищной и инженерно-коммунальной инфраструктуры.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 дорожно-транспортной инфраструктуры.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закрепления молодежи на селе, стимулирование кадрового и организационного обеспечения развития сельскохозяйственного производства.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spacing w:after="0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Задача 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1.11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сохранение и защита окружающей среды.</w:t>
      </w:r>
    </w:p>
    <w:p w:rsidR="00A35EAE" w:rsidRPr="00A35EAE" w:rsidRDefault="00A35EAE" w:rsidP="00A35EAE">
      <w:pPr>
        <w:autoSpaceDE w:val="0"/>
        <w:autoSpaceDN w:val="0"/>
        <w:spacing w:after="0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autoSpaceDE w:val="0"/>
        <w:autoSpaceDN w:val="0"/>
        <w:spacing w:after="0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мероприятий по оформлению земельных участков и нормативно-проектной документации на площадки хранения отходов на территории сельского поселения.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Создания благоприятных условий для обустройства свалки в населенном пункте в соответствии с действующим законодательством РФ.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проводимых мероприятий по санитарной очистке населенного пункта.</w:t>
      </w:r>
    </w:p>
    <w:p w:rsidR="00A35EAE" w:rsidRPr="00A35EAE" w:rsidRDefault="00A35EAE" w:rsidP="00A35EA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роли гражданского общества в целях сохранения благоприятной окружающей среды и природных ресурсов, формирование экологического мышления и экологической культуры граждан.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благоустройства территории сельского поселения, включая озеленение территории.</w:t>
      </w:r>
    </w:p>
    <w:p w:rsidR="00A35EAE" w:rsidRPr="00A35EAE" w:rsidRDefault="00A35EAE" w:rsidP="00A35EAE">
      <w:pPr>
        <w:spacing w:after="0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_Toc468119843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2. Создание возможностей для работы и бизнеса</w:t>
      </w:r>
      <w:bookmarkEnd w:id="3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предусматривает решение следующих задач: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Задача 2.1 –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социально-трудовой сферы и обеспечение государственных гарантий в области содействия занятости населения.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эффективной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системы взаимодействия органов занятости населения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и работодателей, направленной на обеспечение занятости безработных граждан.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Содействие обеспечению прав граждан на вознаграждение за труд и обеспечение легализации трудовых отношений.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эффективной муниципальной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политики в сфере оплаты труда работников бюджетной сферы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Калтукского МО.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Содействие снижению общего производственного травматизма и травматизма со смертельным исходом за счет реализации превентивных мер, направленных на улучшение условий труда, снижение уровня производственного травматизма и профессиональной заболеваемости.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проведения специальной оценки условий труда работников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и получение работниками объективной информации о состоянии условий труда на рабочих местах.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социального партнерства за счет создания эффективной системы представительства работодателей, профсоюзов и институтов гражданского общества в процессах регулирования социально-трудовых отношений.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Задача 2.2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высокого уровня занятости.</w:t>
      </w:r>
    </w:p>
    <w:p w:rsidR="00A35EAE" w:rsidRPr="00A35EAE" w:rsidRDefault="00A35EAE" w:rsidP="00A35EAE">
      <w:pPr>
        <w:widowControl w:val="0"/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Интеграция функций поддержки малого и среднего предпринимательства.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Стимулирование спроса на продукцию малых и средних предприятий.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Стимулирование развития предпринимательской деятельности Укрепление кадрового и предпринимательского потенциала.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адача 2.3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Инвестиционное развитие и повышение конкурентоспособности приоритетных видов экономической деятельности.</w:t>
      </w:r>
    </w:p>
    <w:p w:rsidR="00A35EAE" w:rsidRPr="00A35EAE" w:rsidRDefault="00A35EAE" w:rsidP="00A35EAE">
      <w:pPr>
        <w:widowControl w:val="0"/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Улучшение инвестиционного климата региона.</w:t>
      </w:r>
      <w:r w:rsidRPr="00A35EAE" w:rsidDel="0007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и совершенствование инфраструктуры потребительского рынка.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Расширение участия муниципального образования и привлечение </w:t>
      </w:r>
      <w:proofErr w:type="spellStart"/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>грантовой</w:t>
      </w:r>
      <w:proofErr w:type="spellEnd"/>
      <w:r w:rsidRPr="00A35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поддержки предприятий и предпринимателей в рамках  областных конкурсов.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поддержки субъектов предпринимательской деятельности.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Снижение административных барьеров.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и доступности предоставления муниципальных услуг в Калтукском МО.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инициативного бюджетирования,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Задача 2.4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– обеспечение бесперебойного и безопасного функционирования дорожного хозяйства.</w:t>
      </w: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Направления решения задачи: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населённого пункта постоянной связью с сетью автомобильных дорог.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транспортно-эксплуатационного состояния автомобильных дорог в результате ремонта, капитального ремонта автомобильных дорог.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Задача 2.5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доступности транспортных услуг и услуг связи.</w:t>
      </w:r>
    </w:p>
    <w:p w:rsidR="00A35EAE" w:rsidRPr="00A35EAE" w:rsidRDefault="00A35EAE" w:rsidP="00A35EAE">
      <w:pPr>
        <w:suppressAutoHyphens/>
        <w:spacing w:after="0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Продолжение устранения «цифрового неравенства» посредством развития широкополосного доступа к сети «Интернет», запуска цифрового эфирного вещания на всей территории.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для населения услуг связи.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4" w:name="_Toc468119844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3. Повышение эффективности государственного управления</w:t>
      </w:r>
      <w:bookmarkEnd w:id="4"/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предусматривает решение комплекса тактических целей и задач: 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3.1.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муниципального управления.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Снижение административных барьеров.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качества и доступности предоставления муниципальных услуг. </w:t>
      </w:r>
    </w:p>
    <w:p w:rsidR="00A35EAE" w:rsidRPr="00A35EAE" w:rsidRDefault="00A35EAE" w:rsidP="00A35EAE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Развитие инициативного бюджетирования,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Задача 3.2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– повышение качества управления муниципальными финансами.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долгосрочного бюджетного планирования.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для полного и стабильного поступления в районный бюджет закрепленных доходов.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управления муниципальным долгом.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механизмов казначейского исполнения бюджетов, создание единого информационного пространства по формированию и исполнению бюджета Калтукского МО.</w:t>
      </w:r>
    </w:p>
    <w:p w:rsidR="00A35EAE" w:rsidRPr="00A35EAE" w:rsidRDefault="00A35EAE" w:rsidP="00A3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Взаимодействие с органами государственной власти Иркутской области по совершенствованию и повышению прозрачности межбюджетных отношений.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прозрачности и открытости бюджетного процесса в Калтукском МО.</w:t>
      </w:r>
    </w:p>
    <w:p w:rsidR="00A35EAE" w:rsidRPr="00A35EAE" w:rsidRDefault="00A35EAE" w:rsidP="00A35EAE">
      <w:pPr>
        <w:tabs>
          <w:tab w:val="left" w:pos="247"/>
          <w:tab w:val="left" w:pos="567"/>
          <w:tab w:val="left" w:pos="1134"/>
        </w:tabs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Задача 3.3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проводимой муниципальной политики в области земельно-имущественных отношений и управления  муниципальной собственностью Калтукского МО</w:t>
      </w:r>
      <w:r w:rsidRPr="00A35EA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A35EAE" w:rsidRPr="00A35EAE" w:rsidRDefault="00A35EAE" w:rsidP="00A35EAE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Направления реализации задачи: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системы учета муниципальной собственности Калтукского МО, проведение оценки и обеспечение имущественных интересов Калтукского МО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3.4 –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развития институтов гражданского общества, защиты прав, свобод и интересов населения.</w:t>
      </w:r>
    </w:p>
    <w:p w:rsidR="00A35EAE" w:rsidRPr="00A35EAE" w:rsidRDefault="00A35EAE" w:rsidP="00A35EAE">
      <w:pPr>
        <w:widowControl w:val="0"/>
        <w:tabs>
          <w:tab w:val="left" w:pos="247"/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реализации задачи: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поддержки гражданских инициатив, направленных на улучшение качества жизни населения Калтукского МО.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работы по противодействию коррупции и развитию системы общественного контроля, в том числе в сфере оказания социальных услуг населению.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Консолидация инициативных граждан, работа с сетевыми (формально не институализированными) формами общественной активности и общественными активистами, представляющими как зоны социального напряжения, так и новые общественные инициативы, развитие взаимодействия органов власти с институтами гражданского общества.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развития добровольчества и благотворительной деятельности.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В целях реализации Стратегии формируется следующий перечень мероприятий: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автомобильной дороги Калтук – </w:t>
      </w:r>
      <w:proofErr w:type="spell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Куватка</w:t>
      </w:r>
      <w:proofErr w:type="spell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строительство канализационных очистных сооружений </w:t>
      </w:r>
      <w:proofErr w:type="gramStart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с. Калтук;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выборочный капитальный ремонт МКДОУ детский сад «Светлячок»;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- строительство многофункциональной спортивной площадки;</w:t>
      </w:r>
    </w:p>
    <w:p w:rsidR="00A35EAE" w:rsidRPr="00A35EAE" w:rsidRDefault="00A35EAE" w:rsidP="00A35EAE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развитие сельского хозяйства.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мероприятий, направленных на развитие инфраструктуры и реализацию инвестиционных проектов в наиболее конкурентных отраслях экономики представлена в плане мероприятий по реализации стратегии социально – экономического развития Калтукского муниципального образования до 2036 года.</w:t>
      </w:r>
    </w:p>
    <w:p w:rsidR="00A35EAE" w:rsidRPr="00A35EAE" w:rsidRDefault="00A35EAE" w:rsidP="00A35EA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VII</w:t>
      </w: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Ожидаемые результаты реализации Стратегии.</w:t>
      </w:r>
    </w:p>
    <w:p w:rsidR="00A35EAE" w:rsidRPr="00A35EAE" w:rsidRDefault="00A35EAE" w:rsidP="00A35E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поставленных задач и плана мероприятий по реализации стратегии планируется достичь следующих результатов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1. Демографическая ситуация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муниципальном образовании сохранится тенденция сокращения численности населения, вызванная как естественной, так и миграционной убылью населения. Коэффициент естественного прироста (убыли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-) 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расчете на 1000 населения к 2036 году составит – 2,08 человек.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Миграционная убыль (прирост) на 1000 населения к 2036 году составит  - 138,8 человек.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2. Экономический эффект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результате проводимых мероприятий, направленных на создание благоприятного инвестиционного климата, оказание поддержки хозяйствующим субъектам, осуществляющих деятельность на территории района, развитие фермерского движения и поддержка субъектам малого и среднего предпринимательства - </w:t>
      </w: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к 2036 году ожидается: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выручка от реализации товаров (работ, услуг) составит 66,84 </w:t>
      </w:r>
      <w:proofErr w:type="spellStart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млн</w:t>
      </w:r>
      <w:proofErr w:type="gramStart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составит 5,1 %.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3. Бюджетный эффект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результате развития экономики муниципального образования и проводимых мероприятий по повышению доходной части бюджета </w:t>
      </w: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к 2036 году ожидается: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рост объема налоговых и неналоговых доходов местного бюджета в общем объеме собственных доходов бюджета муниципального образования (без учета субвенций) по отношению 2021 г. составит 26 %.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4. Социальный эффект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 2036 г. ожидается: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строительство канализационных очистных сооружений </w:t>
      </w:r>
      <w:proofErr w:type="gramStart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с. Калтук;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выборочный капитальный ремонт МКДОУ детский сад «Светлячок»;</w:t>
      </w:r>
    </w:p>
    <w:p w:rsidR="00A35EAE" w:rsidRPr="00A35EAE" w:rsidRDefault="00A35EAE" w:rsidP="00A35E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color w:val="000000"/>
          <w:sz w:val="24"/>
          <w:szCs w:val="24"/>
          <w:lang w:eastAsia="ru-RU"/>
        </w:rPr>
        <w:t>- строительство многофункциональной спортивной площадки;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целевых показателей социально-экономического развития Калтукского муниципального образования до 2036 г. представлены в Приложении 2.</w:t>
      </w:r>
    </w:p>
    <w:p w:rsidR="00A35EAE" w:rsidRPr="00A35EAE" w:rsidRDefault="00A35EAE" w:rsidP="00A35E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b/>
          <w:sz w:val="24"/>
          <w:szCs w:val="24"/>
          <w:lang w:val="en-US" w:eastAsia="ru-RU"/>
        </w:rPr>
        <w:t>VIII</w:t>
      </w:r>
      <w:r w:rsidRPr="00A35EAE">
        <w:rPr>
          <w:rFonts w:ascii="Arial" w:eastAsia="Times New Roman" w:hAnsi="Arial" w:cs="Arial"/>
          <w:b/>
          <w:sz w:val="24"/>
          <w:szCs w:val="24"/>
          <w:lang w:eastAsia="ru-RU"/>
        </w:rPr>
        <w:t>. Механизм реализации стратегии</w:t>
      </w:r>
    </w:p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Реализация плана социально-экономического развития Калтукского муниципального образования до 2036 года должна осуществляться на основе следующих механизмов: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Бюджетное финансирование основных мероприятий стратегии.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Совершенствование нормативной базы на уровне поселения по вопросам местного значения.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данной стратегии в соответствии с распоряжением главы Калтукского муниципального образования.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Ежегодное уточнение у населения и руководителей предприятий основных проблем муниципального образования и путей их решения.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Проведение мониторинга с анализом о ходе выполнения данной стратегии, при этом отрабатывать возможные варианты механизмов, наиболее оптимальных направлений решения обозначенных проблем со всеми предприятиями, учреждениями осуществляющих свою деятельность на данной  территории.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Комплексное управление реализацией стратегии осуществляет Администрация Калтукского сельского поселения, которая обеспечивает: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1) эффективные способы и механизмы достижения стратегических целей Калтукского МО;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Calibri" w:hAnsi="Arial" w:cs="Arial"/>
          <w:sz w:val="24"/>
          <w:szCs w:val="24"/>
          <w:lang w:eastAsia="ru-RU"/>
        </w:rPr>
        <w:t>2) меры по привлечению средств федерального и областного бюджетов, внебюджетных источников для финансирования настоящей стратегии;</w:t>
      </w:r>
      <w:proofErr w:type="gramEnd"/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3) разработку и корректировку муниципальных  программ Калтукского МО;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4) объемы бюджетного финансирования  муниципальных программ Калтукского МО на период их реализации;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 xml:space="preserve">5) подготовку ежегодных сводных бюджетных заявок на реализацию на территории Калтукского МО государственных программ Российской Федерации, государственных программ Иркутской области;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6) разработку и реализацию плана реализации стратегии на долгосрочный период, его корректировку;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35EAE">
        <w:rPr>
          <w:rFonts w:ascii="Arial" w:eastAsia="Calibri" w:hAnsi="Arial" w:cs="Arial"/>
          <w:sz w:val="24"/>
          <w:szCs w:val="24"/>
          <w:lang w:eastAsia="ru-RU"/>
        </w:rPr>
        <w:t>7) ежегодный мониторинг реализации стратегии в соответствии с установленными порядком;</w:t>
      </w:r>
      <w:proofErr w:type="gramEnd"/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8)  координацию и взаимодействие участников реализации стратегии.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стратегии социально-экономического развития территории на долгосрочный период и муниципальных программ администрация Калтукского сельского поселения, руководствуется положениями Стратегии социально-экономического развития МО «Братский район».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Дума Калтукского сельского поселения в рамках реализации Стратегии обеспечивает реализацию правотворческих инициатив всех участников реализации Стратегии, рассматривает отчеты о реализации Стратегии. 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Коммерческие организации, общественные объединения предпринимателей и индивидуальные предприниматели, участвующие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</w:t>
      </w:r>
      <w:proofErr w:type="gramStart"/>
      <w:r w:rsidRPr="00A35EAE">
        <w:rPr>
          <w:rFonts w:ascii="Arial" w:eastAsia="Times New Roman" w:hAnsi="Arial" w:cs="Arial"/>
          <w:sz w:val="24"/>
          <w:szCs w:val="24"/>
          <w:lang w:eastAsia="ru-RU"/>
        </w:rPr>
        <w:t>процессах</w:t>
      </w:r>
      <w:proofErr w:type="gramEnd"/>
      <w:r w:rsidRPr="00A35EAE">
        <w:rPr>
          <w:rFonts w:ascii="Arial" w:eastAsia="Times New Roman" w:hAnsi="Arial" w:cs="Arial"/>
          <w:sz w:val="24"/>
          <w:szCs w:val="24"/>
          <w:lang w:eastAsia="ru-RU"/>
        </w:rPr>
        <w:t>, при осуществлении своей инвестиционной деятельности вправе руководствоваться положениями настоящей Стратегии,  осуществлять контроль за ходом ее реализации и принимать активное участие в обсуждении изменений в настоящую Стратегию.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Стратегии утверждается план мероприятий по реализации Стратегии.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План по реализации Стратегии может корректироваться. Основания корректировки плана определяются порядком разработки и корректировки стратегии социально-экономического развития Калтукского МО и плана мероприятий по реализации Стратегии социально-экономического развития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Калтукского МО, </w:t>
      </w:r>
      <w:r w:rsidRPr="00A35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 постановлением главы Калтукского муниципального образования № 45 от 04.10.2018 г.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программы Калтукского МО формируются в соответствии с порядком, утвержденным постановлением главы Калтукского муниципального образования от 30.10.2017 г. № 52 на период не менее 3 лет. </w:t>
      </w:r>
    </w:p>
    <w:p w:rsidR="00A35EAE" w:rsidRPr="00A35EAE" w:rsidRDefault="00A35EAE" w:rsidP="00A35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Муниципальные программы Калтукского МО содержат систему мероприятий, направленных на выполнение задач социально-экономического развития Калтукского МО на определенном этапе и достижение цели реализации стратегии.</w:t>
      </w:r>
    </w:p>
    <w:p w:rsidR="00A35EAE" w:rsidRPr="00A35EAE" w:rsidRDefault="00A35EAE" w:rsidP="00A35E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>Финансовые инструменты: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5EAE">
        <w:rPr>
          <w:rFonts w:ascii="Arial" w:eastAsia="Calibri" w:hAnsi="Arial" w:cs="Arial"/>
          <w:sz w:val="24"/>
          <w:szCs w:val="24"/>
          <w:lang w:eastAsia="ru-RU"/>
        </w:rPr>
        <w:t xml:space="preserve">1) </w:t>
      </w:r>
      <w:r w:rsidRPr="00A35EAE">
        <w:rPr>
          <w:rFonts w:ascii="Arial" w:eastAsia="Times New Roman" w:hAnsi="Arial" w:cs="Arial"/>
          <w:sz w:val="24"/>
          <w:szCs w:val="24"/>
          <w:lang w:eastAsia="ru-RU"/>
        </w:rPr>
        <w:t>государственные программы Иркутской области, государственные программы Российской Федерации, муниципальные программы Калтукского МО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2) внебюджетные источники;</w:t>
      </w:r>
    </w:p>
    <w:p w:rsidR="00A35EAE" w:rsidRPr="00A35EAE" w:rsidRDefault="00A35EAE" w:rsidP="00A3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3) соглашения о социально-экономическом сотрудничестве c хозяйствующими субъектами, инвестиционные программы естественных монополий;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AE">
        <w:rPr>
          <w:rFonts w:ascii="Arial" w:eastAsia="Times New Roman" w:hAnsi="Arial" w:cs="Arial"/>
          <w:sz w:val="24"/>
          <w:szCs w:val="24"/>
          <w:lang w:eastAsia="ru-RU"/>
        </w:rPr>
        <w:t>4) соглашения о государственно-частном партнерстве и концессионные соглашения (налоговое регулирование, долевое финансирование инвестиционных проектов, государственные гарантии областного бюджета, снижение инфраструктурных ограничений и т.д.</w:t>
      </w: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>Приложение 1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 xml:space="preserve">К решению Думы Калтукского 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>сельского поселения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 xml:space="preserve">от 2023 г. № </w:t>
      </w: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35EAE">
        <w:rPr>
          <w:rFonts w:ascii="Arial" w:eastAsia="Times New Roman" w:hAnsi="Arial" w:cs="Arial"/>
          <w:sz w:val="24"/>
          <w:szCs w:val="20"/>
          <w:lang w:eastAsia="ru-RU"/>
        </w:rPr>
        <w:t>ПЕРЕЧЕНЬ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35EAE">
        <w:rPr>
          <w:rFonts w:ascii="Arial" w:eastAsia="Times New Roman" w:hAnsi="Arial" w:cs="Arial"/>
          <w:sz w:val="24"/>
          <w:szCs w:val="20"/>
          <w:lang w:eastAsia="ru-RU"/>
        </w:rPr>
        <w:t>МУНИЦИПАЛЬНЫХ ПРОГРАММ КАЛТУКСКОГО МУНИЦИПАЛЬНОГО ОБРАЗОВАНИЯ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8"/>
        <w:gridCol w:w="2434"/>
        <w:gridCol w:w="2160"/>
        <w:gridCol w:w="2696"/>
      </w:tblGrid>
      <w:tr w:rsidR="00A35EAE" w:rsidRPr="00A35EAE" w:rsidTr="00A35EAE">
        <w:trPr>
          <w:trHeight w:val="874"/>
          <w:tblHeader/>
        </w:trPr>
        <w:tc>
          <w:tcPr>
            <w:tcW w:w="2128" w:type="dxa"/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Название муниципальной программы</w:t>
            </w:r>
          </w:p>
        </w:tc>
        <w:tc>
          <w:tcPr>
            <w:tcW w:w="2434" w:type="dxa"/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Период реализации программы</w:t>
            </w:r>
          </w:p>
        </w:tc>
        <w:tc>
          <w:tcPr>
            <w:tcW w:w="2160" w:type="dxa"/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финансирования, тыс. руб.</w:t>
            </w:r>
          </w:p>
        </w:tc>
        <w:tc>
          <w:tcPr>
            <w:tcW w:w="2696" w:type="dxa"/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Ответственный исполнитель</w:t>
            </w:r>
          </w:p>
        </w:tc>
      </w:tr>
      <w:tr w:rsidR="00A35EAE" w:rsidRPr="00A35EAE" w:rsidTr="00A35EAE">
        <w:trPr>
          <w:trHeight w:val="1256"/>
        </w:trPr>
        <w:tc>
          <w:tcPr>
            <w:tcW w:w="2128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муниципальная</w:t>
            </w:r>
          </w:p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программа «Муниципальные финансы муниципального образования» 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2015-2025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9029,6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rPr>
          <w:trHeight w:val="1256"/>
        </w:trPr>
        <w:tc>
          <w:tcPr>
            <w:tcW w:w="2128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муниципальная</w:t>
            </w:r>
          </w:p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программа «Развитие дорожного хозяйства в Калтукском муниципальном образовании</w:t>
            </w:r>
          </w:p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34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2015-2025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4056,7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«Развитие объектов коммунальной инфраструктуры»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2015-2025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3784,6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«Развитие физической культуры и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спорта в Калтукском МО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2015-2025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869,1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Муниципальная программа «Культура Калтукского муниципального образования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2016-2025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11426,1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«Пожарная безопасность, предупреждение и ликвидация чрезвычайных ситуаций в Калтукском МО»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2015-2025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3460,0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«Формирование комфортной городской среды на территории Калтукского муниципального образования»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2018-2024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973,1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муниципального образования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Программа комплексного развития социальной инфраструктуры Калтукского сельского поселения» 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2017-2032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224500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сельского поселения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Программа «Комплексного развитие систем транспортной инфраструктуры на территории Калтукского сельского поселения Братского района Иркутской области» 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2017-2032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23688.5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Администрация Калтукского сельского поселения</w:t>
            </w:r>
          </w:p>
        </w:tc>
      </w:tr>
      <w:tr w:rsidR="00A35EAE" w:rsidRPr="00A35EAE" w:rsidTr="00A35EAE">
        <w:tc>
          <w:tcPr>
            <w:tcW w:w="2128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Программа </w:t>
            </w:r>
            <w:r w:rsidRPr="00A35EAE">
              <w:rPr>
                <w:rFonts w:ascii="Courier New" w:eastAsia="Times New Roman" w:hAnsi="Courier New" w:cs="Courier New"/>
                <w:bCs/>
                <w:lang w:eastAsia="ru-RU"/>
              </w:rPr>
              <w:t>комплексного развития коммунальной инфраструктуры Калтукского сельского поселения»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434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2016-2032 годы</w:t>
            </w:r>
          </w:p>
        </w:tc>
        <w:tc>
          <w:tcPr>
            <w:tcW w:w="2160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6875,4</w:t>
            </w:r>
          </w:p>
        </w:tc>
        <w:tc>
          <w:tcPr>
            <w:tcW w:w="2696" w:type="dxa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Калтукского сельского поселения</w:t>
            </w:r>
          </w:p>
        </w:tc>
      </w:tr>
    </w:tbl>
    <w:p w:rsidR="00A35EAE" w:rsidRPr="00A35EAE" w:rsidRDefault="00A35EAE" w:rsidP="00A35E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>Приложение 2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>К решению Думы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>Калтукского сельского поселения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35EAE">
        <w:rPr>
          <w:rFonts w:ascii="Courier New" w:eastAsia="Times New Roman" w:hAnsi="Courier New" w:cs="Courier New"/>
          <w:lang w:eastAsia="ru-RU"/>
        </w:rPr>
        <w:t xml:space="preserve">От 2023 г. № 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35EAE">
        <w:rPr>
          <w:rFonts w:ascii="Arial" w:eastAsia="Times New Roman" w:hAnsi="Arial" w:cs="Arial"/>
          <w:sz w:val="24"/>
          <w:szCs w:val="20"/>
          <w:lang w:eastAsia="ru-RU"/>
        </w:rPr>
        <w:t>ПРИМЕРНЫЙ ПЕРЕЧЕНЬ ЦЕЛЕВЫХ ПОКАЗАТЕЛЕЙ СТРАТЕГИИ</w:t>
      </w:r>
    </w:p>
    <w:p w:rsidR="00A35EAE" w:rsidRPr="00A35EAE" w:rsidRDefault="00A35EAE" w:rsidP="00A35E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1823"/>
        <w:gridCol w:w="569"/>
        <w:gridCol w:w="1128"/>
        <w:gridCol w:w="142"/>
        <w:gridCol w:w="992"/>
        <w:gridCol w:w="1134"/>
        <w:gridCol w:w="993"/>
        <w:gridCol w:w="1134"/>
        <w:gridCol w:w="1134"/>
      </w:tblGrid>
      <w:tr w:rsidR="00A35EAE" w:rsidRPr="00A35EAE" w:rsidTr="00A35EAE">
        <w:trPr>
          <w:trHeight w:val="144"/>
          <w:tblHeader/>
        </w:trPr>
        <w:tc>
          <w:tcPr>
            <w:tcW w:w="511" w:type="dxa"/>
            <w:vMerge w:val="restart"/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№</w:t>
            </w:r>
          </w:p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п</w:t>
            </w:r>
            <w:proofErr w:type="gramEnd"/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/п</w:t>
            </w:r>
          </w:p>
        </w:tc>
        <w:tc>
          <w:tcPr>
            <w:tcW w:w="1823" w:type="dxa"/>
            <w:vMerge w:val="restart"/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показателя</w:t>
            </w:r>
          </w:p>
        </w:tc>
        <w:tc>
          <w:tcPr>
            <w:tcW w:w="569" w:type="dxa"/>
            <w:vMerge w:val="restart"/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ед. изм.</w:t>
            </w:r>
          </w:p>
        </w:tc>
        <w:tc>
          <w:tcPr>
            <w:tcW w:w="6657" w:type="dxa"/>
            <w:gridSpan w:val="7"/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Значения целевых показателей по годам:</w:t>
            </w:r>
          </w:p>
        </w:tc>
      </w:tr>
      <w:tr w:rsidR="00A35EAE" w:rsidRPr="00A35EAE" w:rsidTr="00A35EAE">
        <w:trPr>
          <w:trHeight w:val="436"/>
          <w:tblHeader/>
        </w:trPr>
        <w:tc>
          <w:tcPr>
            <w:tcW w:w="51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К 2036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9560" w:type="dxa"/>
            <w:gridSpan w:val="10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Демография: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Коэффициент естественного прироста (убыли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-) 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в расчете на 1000 населения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2,1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2,09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2,09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2,08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Миграционная убыль (прирост) на 1000 населения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140,2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138,8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shd w:val="clear" w:color="auto" w:fill="FFCC99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Экономическое развитие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Выручка от реализации товаров (работ, услуг) 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млн. руб.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49,35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56,21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59,47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61,73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63,83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66,84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Доля среднесписочной численности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%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5,1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tcBorders>
              <w:bottom w:val="single" w:sz="4" w:space="0" w:color="auto"/>
            </w:tcBorders>
            <w:shd w:val="clear" w:color="auto" w:fill="FFCC99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Культура: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nil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5.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top w:val="nil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клубами и учреждениями клубного типа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35EAE" w:rsidRPr="00A35EAE" w:rsidRDefault="00A35EAE" w:rsidP="00A3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</w:tr>
      <w:tr w:rsidR="00A35EAE" w:rsidRPr="00A35EAE" w:rsidTr="00A35EAE">
        <w:trPr>
          <w:trHeight w:val="238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7.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библиотеками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95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8.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shd w:val="clear" w:color="auto" w:fill="FFCC99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9.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shd w:val="clear" w:color="auto" w:fill="FFCC99"/>
          </w:tcPr>
          <w:p w:rsidR="00A35EAE" w:rsidRPr="00A35EAE" w:rsidRDefault="00A35EAE" w:rsidP="00A35EAE">
            <w:pPr>
              <w:widowControl w:val="0"/>
              <w:tabs>
                <w:tab w:val="left" w:pos="3708"/>
              </w:tabs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Жилищное строительство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tabs>
                <w:tab w:val="left" w:pos="3708"/>
              </w:tabs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10.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кв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40,4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11.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тыс. </w:t>
            </w: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кв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12.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кв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18,41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shd w:val="clear" w:color="auto" w:fill="FFCC99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t>Бюджетный потенциал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2599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13.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(без учета </w:t>
            </w: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субвенций)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lastRenderedPageBreak/>
              <w:t>%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26</w:t>
            </w:r>
          </w:p>
        </w:tc>
      </w:tr>
      <w:tr w:rsidR="00A35EAE" w:rsidRPr="00A35EAE" w:rsidTr="00A35EAE">
        <w:trPr>
          <w:trHeight w:hRule="exact" w:val="397"/>
        </w:trPr>
        <w:tc>
          <w:tcPr>
            <w:tcW w:w="8426" w:type="dxa"/>
            <w:gridSpan w:val="9"/>
            <w:shd w:val="clear" w:color="auto" w:fill="FFCC99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Рынок труда и заработной платы: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35EAE" w:rsidRPr="00A35EAE" w:rsidTr="00A35EAE">
        <w:trPr>
          <w:trHeight w:val="436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14.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Среднесписочная численность 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работающих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227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230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233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236</w:t>
            </w:r>
          </w:p>
        </w:tc>
      </w:tr>
      <w:tr w:rsidR="00A35EAE" w:rsidRPr="00A35EAE" w:rsidTr="00A35EAE">
        <w:trPr>
          <w:trHeight w:hRule="exact" w:val="1597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15.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2.9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2.9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2.9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2,9</w:t>
            </w:r>
          </w:p>
        </w:tc>
      </w:tr>
      <w:tr w:rsidR="00A35EAE" w:rsidRPr="00A35EAE" w:rsidTr="00A35EAE">
        <w:trPr>
          <w:trHeight w:hRule="exact" w:val="2371"/>
        </w:trPr>
        <w:tc>
          <w:tcPr>
            <w:tcW w:w="511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16.</w:t>
            </w:r>
          </w:p>
        </w:tc>
        <w:tc>
          <w:tcPr>
            <w:tcW w:w="1823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569" w:type="dxa"/>
            <w:shd w:val="clear" w:color="auto" w:fill="auto"/>
          </w:tcPr>
          <w:p w:rsidR="00A35EAE" w:rsidRPr="00A35EAE" w:rsidRDefault="00A35EAE" w:rsidP="00A35EA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35EAE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A35EAE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A35EAE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A35EA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A35EAE" w:rsidRPr="00A35EAE" w:rsidRDefault="00A35EAE" w:rsidP="00A35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35EAE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</w:tbl>
    <w:p w:rsidR="00A35EAE" w:rsidRPr="00A35EAE" w:rsidRDefault="00A35EAE" w:rsidP="00A35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EAE" w:rsidRDefault="00A35EAE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0E37" w:rsidRPr="00EF311F" w:rsidRDefault="007C0E37" w:rsidP="000620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C0E37" w:rsidRPr="00EF311F" w:rsidSect="00A35E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704"/>
    <w:multiLevelType w:val="multilevel"/>
    <w:tmpl w:val="5DFE5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4C5775D9"/>
    <w:multiLevelType w:val="hybridMultilevel"/>
    <w:tmpl w:val="07F21F08"/>
    <w:lvl w:ilvl="0" w:tplc="7E92089E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425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709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</w:abstractNum>
  <w:abstractNum w:abstractNumId="3">
    <w:nsid w:val="67CC52CA"/>
    <w:multiLevelType w:val="multilevel"/>
    <w:tmpl w:val="BFA495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9DE1C08"/>
    <w:multiLevelType w:val="multilevel"/>
    <w:tmpl w:val="3B5CB0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78"/>
    <w:rsid w:val="000006E6"/>
    <w:rsid w:val="000273D4"/>
    <w:rsid w:val="000620CA"/>
    <w:rsid w:val="00084211"/>
    <w:rsid w:val="00097B52"/>
    <w:rsid w:val="000B0266"/>
    <w:rsid w:val="00166F25"/>
    <w:rsid w:val="00173ECA"/>
    <w:rsid w:val="001A1358"/>
    <w:rsid w:val="001E3778"/>
    <w:rsid w:val="00243144"/>
    <w:rsid w:val="00250315"/>
    <w:rsid w:val="002573BD"/>
    <w:rsid w:val="00286719"/>
    <w:rsid w:val="002908E2"/>
    <w:rsid w:val="00294223"/>
    <w:rsid w:val="002A089D"/>
    <w:rsid w:val="002B33C7"/>
    <w:rsid w:val="002C5BEF"/>
    <w:rsid w:val="00325175"/>
    <w:rsid w:val="00330DC0"/>
    <w:rsid w:val="0033493A"/>
    <w:rsid w:val="00381703"/>
    <w:rsid w:val="00396ABC"/>
    <w:rsid w:val="003A1BFD"/>
    <w:rsid w:val="003E4F3E"/>
    <w:rsid w:val="003F3920"/>
    <w:rsid w:val="003F70FE"/>
    <w:rsid w:val="004233A4"/>
    <w:rsid w:val="00441162"/>
    <w:rsid w:val="00471260"/>
    <w:rsid w:val="00481EEC"/>
    <w:rsid w:val="00496CE6"/>
    <w:rsid w:val="004C25C8"/>
    <w:rsid w:val="004D54D5"/>
    <w:rsid w:val="004E25A2"/>
    <w:rsid w:val="005278D9"/>
    <w:rsid w:val="00545424"/>
    <w:rsid w:val="0058229E"/>
    <w:rsid w:val="005830BB"/>
    <w:rsid w:val="00593923"/>
    <w:rsid w:val="005C4C0D"/>
    <w:rsid w:val="005C6547"/>
    <w:rsid w:val="005F5053"/>
    <w:rsid w:val="005F6D0D"/>
    <w:rsid w:val="00621CD7"/>
    <w:rsid w:val="006531C1"/>
    <w:rsid w:val="006B694A"/>
    <w:rsid w:val="006C52AF"/>
    <w:rsid w:val="006D2613"/>
    <w:rsid w:val="006F0B2D"/>
    <w:rsid w:val="006F603B"/>
    <w:rsid w:val="0072550C"/>
    <w:rsid w:val="00732BCC"/>
    <w:rsid w:val="00736DCD"/>
    <w:rsid w:val="007B48EA"/>
    <w:rsid w:val="007C0E37"/>
    <w:rsid w:val="007C2522"/>
    <w:rsid w:val="007F3BDB"/>
    <w:rsid w:val="008044EA"/>
    <w:rsid w:val="00805ACF"/>
    <w:rsid w:val="00826723"/>
    <w:rsid w:val="00850E86"/>
    <w:rsid w:val="00883849"/>
    <w:rsid w:val="008B1B9C"/>
    <w:rsid w:val="008D07AC"/>
    <w:rsid w:val="008D4282"/>
    <w:rsid w:val="008E1DCF"/>
    <w:rsid w:val="008E383C"/>
    <w:rsid w:val="008E4C8E"/>
    <w:rsid w:val="008F01BA"/>
    <w:rsid w:val="00916CBF"/>
    <w:rsid w:val="009179F6"/>
    <w:rsid w:val="00996BA9"/>
    <w:rsid w:val="009A0283"/>
    <w:rsid w:val="009A3DF9"/>
    <w:rsid w:val="009B07C8"/>
    <w:rsid w:val="009C7A78"/>
    <w:rsid w:val="009F4BE0"/>
    <w:rsid w:val="00A3323A"/>
    <w:rsid w:val="00A35EAE"/>
    <w:rsid w:val="00A36B8B"/>
    <w:rsid w:val="00A65B7F"/>
    <w:rsid w:val="00A97378"/>
    <w:rsid w:val="00AB11C1"/>
    <w:rsid w:val="00B2660F"/>
    <w:rsid w:val="00B51C6D"/>
    <w:rsid w:val="00B842D0"/>
    <w:rsid w:val="00BA20D8"/>
    <w:rsid w:val="00BB35DF"/>
    <w:rsid w:val="00BC4BB5"/>
    <w:rsid w:val="00BE71DF"/>
    <w:rsid w:val="00C05C0E"/>
    <w:rsid w:val="00C537DC"/>
    <w:rsid w:val="00C758D6"/>
    <w:rsid w:val="00CF0C18"/>
    <w:rsid w:val="00D22575"/>
    <w:rsid w:val="00D634DB"/>
    <w:rsid w:val="00D744E4"/>
    <w:rsid w:val="00DA06EA"/>
    <w:rsid w:val="00DA7FDD"/>
    <w:rsid w:val="00E300FC"/>
    <w:rsid w:val="00E31991"/>
    <w:rsid w:val="00E32AE0"/>
    <w:rsid w:val="00E447AC"/>
    <w:rsid w:val="00E553D6"/>
    <w:rsid w:val="00EA04B4"/>
    <w:rsid w:val="00EA6A57"/>
    <w:rsid w:val="00EC73EE"/>
    <w:rsid w:val="00EE6BE6"/>
    <w:rsid w:val="00EF25BA"/>
    <w:rsid w:val="00EF311F"/>
    <w:rsid w:val="00EF7616"/>
    <w:rsid w:val="00EF7BBC"/>
    <w:rsid w:val="00F4129E"/>
    <w:rsid w:val="00F4146B"/>
    <w:rsid w:val="00F708DD"/>
    <w:rsid w:val="00FA28B7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41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11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E32AE0"/>
    <w:pPr>
      <w:ind w:left="720"/>
      <w:contextualSpacing/>
    </w:pPr>
  </w:style>
  <w:style w:type="paragraph" w:styleId="a6">
    <w:name w:val="Balloon Text"/>
    <w:basedOn w:val="a0"/>
    <w:link w:val="a7"/>
    <w:unhideWhenUsed/>
    <w:rsid w:val="003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30D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41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41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441162"/>
  </w:style>
  <w:style w:type="character" w:styleId="a8">
    <w:name w:val="Hyperlink"/>
    <w:uiPriority w:val="99"/>
    <w:rsid w:val="00441162"/>
    <w:rPr>
      <w:strike w:val="0"/>
      <w:dstrike w:val="0"/>
      <w:color w:val="006633"/>
      <w:u w:val="none"/>
      <w:effect w:val="none"/>
    </w:rPr>
  </w:style>
  <w:style w:type="paragraph" w:styleId="a9">
    <w:name w:val="Title"/>
    <w:basedOn w:val="a0"/>
    <w:link w:val="aa"/>
    <w:qFormat/>
    <w:rsid w:val="00441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4116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Body Text Indent"/>
    <w:basedOn w:val="a0"/>
    <w:link w:val="ac"/>
    <w:rsid w:val="004411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44116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41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0"/>
    <w:link w:val="30"/>
    <w:rsid w:val="004411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116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4116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411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rsid w:val="0044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rsid w:val="00441162"/>
  </w:style>
  <w:style w:type="paragraph" w:customStyle="1" w:styleId="ConsTitle">
    <w:name w:val="ConsTitle"/>
    <w:rsid w:val="0044116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Body Text"/>
    <w:basedOn w:val="a0"/>
    <w:link w:val="af"/>
    <w:rsid w:val="00441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441162"/>
    <w:pPr>
      <w:spacing w:after="0" w:line="240" w:lineRule="auto"/>
      <w:ind w:left="90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41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44116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1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0"/>
    <w:next w:val="a0"/>
    <w:qFormat/>
    <w:rsid w:val="00441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Document Map"/>
    <w:basedOn w:val="a0"/>
    <w:link w:val="af2"/>
    <w:rsid w:val="004411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Схема документа Знак"/>
    <w:basedOn w:val="a1"/>
    <w:link w:val="af1"/>
    <w:rsid w:val="0044116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3">
    <w:name w:val="header"/>
    <w:basedOn w:val="a0"/>
    <w:link w:val="af4"/>
    <w:rsid w:val="00441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rsid w:val="00441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Абзац"/>
    <w:basedOn w:val="a0"/>
    <w:link w:val="af8"/>
    <w:qFormat/>
    <w:rsid w:val="0044116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Знак"/>
    <w:link w:val="af7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9"/>
    <w:rsid w:val="0044116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f9">
    <w:name w:val="Список Знак"/>
    <w:link w:val="a"/>
    <w:rsid w:val="00441162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a">
    <w:name w:val="Normal (Web)"/>
    <w:basedOn w:val="a0"/>
    <w:uiPriority w:val="99"/>
    <w:unhideWhenUsed/>
    <w:rsid w:val="004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1162"/>
  </w:style>
  <w:style w:type="character" w:customStyle="1" w:styleId="okved">
    <w:name w:val="okved"/>
    <w:rsid w:val="00441162"/>
  </w:style>
  <w:style w:type="table" w:customStyle="1" w:styleId="12">
    <w:name w:val="Сетка таблицы1"/>
    <w:basedOn w:val="a2"/>
    <w:next w:val="ad"/>
    <w:rsid w:val="0044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441162"/>
  </w:style>
  <w:style w:type="character" w:customStyle="1" w:styleId="afb">
    <w:name w:val="Основной текст + Курсив"/>
    <w:aliases w:val="Интервал 0 pt"/>
    <w:uiPriority w:val="99"/>
    <w:rsid w:val="00441162"/>
    <w:rPr>
      <w:rFonts w:ascii="Sylfaen" w:hAnsi="Sylfaen"/>
      <w:i/>
      <w:color w:val="000000"/>
      <w:w w:val="100"/>
      <w:position w:val="0"/>
      <w:sz w:val="25"/>
      <w:u w:val="none"/>
      <w:shd w:val="clear" w:color="auto" w:fill="FFFFFF"/>
      <w:lang w:val="ru-RU"/>
    </w:rPr>
  </w:style>
  <w:style w:type="numbering" w:customStyle="1" w:styleId="25">
    <w:name w:val="Нет списка2"/>
    <w:next w:val="a3"/>
    <w:semiHidden/>
    <w:unhideWhenUsed/>
    <w:rsid w:val="00441162"/>
  </w:style>
  <w:style w:type="numbering" w:customStyle="1" w:styleId="33">
    <w:name w:val="Нет списка3"/>
    <w:next w:val="a3"/>
    <w:semiHidden/>
    <w:rsid w:val="00A35EAE"/>
  </w:style>
  <w:style w:type="table" w:customStyle="1" w:styleId="26">
    <w:name w:val="Сетка таблицы2"/>
    <w:basedOn w:val="a2"/>
    <w:next w:val="ad"/>
    <w:rsid w:val="00A3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rsid w:val="00A35EAE"/>
  </w:style>
  <w:style w:type="table" w:customStyle="1" w:styleId="111">
    <w:name w:val="Сетка таблицы11"/>
    <w:basedOn w:val="a2"/>
    <w:next w:val="ad"/>
    <w:rsid w:val="00A3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semiHidden/>
    <w:unhideWhenUsed/>
    <w:rsid w:val="00A3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41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11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E32AE0"/>
    <w:pPr>
      <w:ind w:left="720"/>
      <w:contextualSpacing/>
    </w:pPr>
  </w:style>
  <w:style w:type="paragraph" w:styleId="a6">
    <w:name w:val="Balloon Text"/>
    <w:basedOn w:val="a0"/>
    <w:link w:val="a7"/>
    <w:unhideWhenUsed/>
    <w:rsid w:val="003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30D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41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41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441162"/>
  </w:style>
  <w:style w:type="character" w:styleId="a8">
    <w:name w:val="Hyperlink"/>
    <w:uiPriority w:val="99"/>
    <w:rsid w:val="00441162"/>
    <w:rPr>
      <w:strike w:val="0"/>
      <w:dstrike w:val="0"/>
      <w:color w:val="006633"/>
      <w:u w:val="none"/>
      <w:effect w:val="none"/>
    </w:rPr>
  </w:style>
  <w:style w:type="paragraph" w:styleId="a9">
    <w:name w:val="Title"/>
    <w:basedOn w:val="a0"/>
    <w:link w:val="aa"/>
    <w:qFormat/>
    <w:rsid w:val="00441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4116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Body Text Indent"/>
    <w:basedOn w:val="a0"/>
    <w:link w:val="ac"/>
    <w:rsid w:val="004411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44116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41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0"/>
    <w:link w:val="30"/>
    <w:rsid w:val="004411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116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4116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411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rsid w:val="0044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rsid w:val="00441162"/>
  </w:style>
  <w:style w:type="paragraph" w:customStyle="1" w:styleId="ConsTitle">
    <w:name w:val="ConsTitle"/>
    <w:rsid w:val="0044116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Body Text"/>
    <w:basedOn w:val="a0"/>
    <w:link w:val="af"/>
    <w:rsid w:val="00441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41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441162"/>
    <w:pPr>
      <w:spacing w:after="0" w:line="240" w:lineRule="auto"/>
      <w:ind w:left="90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41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44116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1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0"/>
    <w:next w:val="a0"/>
    <w:qFormat/>
    <w:rsid w:val="00441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Document Map"/>
    <w:basedOn w:val="a0"/>
    <w:link w:val="af2"/>
    <w:rsid w:val="004411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Схема документа Знак"/>
    <w:basedOn w:val="a1"/>
    <w:link w:val="af1"/>
    <w:rsid w:val="0044116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3">
    <w:name w:val="header"/>
    <w:basedOn w:val="a0"/>
    <w:link w:val="af4"/>
    <w:rsid w:val="00441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rsid w:val="00441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Абзац"/>
    <w:basedOn w:val="a0"/>
    <w:link w:val="af8"/>
    <w:qFormat/>
    <w:rsid w:val="0044116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Знак"/>
    <w:link w:val="af7"/>
    <w:rsid w:val="004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9"/>
    <w:rsid w:val="0044116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f9">
    <w:name w:val="Список Знак"/>
    <w:link w:val="a"/>
    <w:rsid w:val="00441162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a">
    <w:name w:val="Normal (Web)"/>
    <w:basedOn w:val="a0"/>
    <w:uiPriority w:val="99"/>
    <w:unhideWhenUsed/>
    <w:rsid w:val="004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1162"/>
  </w:style>
  <w:style w:type="character" w:customStyle="1" w:styleId="okved">
    <w:name w:val="okved"/>
    <w:rsid w:val="00441162"/>
  </w:style>
  <w:style w:type="table" w:customStyle="1" w:styleId="12">
    <w:name w:val="Сетка таблицы1"/>
    <w:basedOn w:val="a2"/>
    <w:next w:val="ad"/>
    <w:rsid w:val="0044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441162"/>
  </w:style>
  <w:style w:type="character" w:customStyle="1" w:styleId="afb">
    <w:name w:val="Основной текст + Курсив"/>
    <w:aliases w:val="Интервал 0 pt"/>
    <w:uiPriority w:val="99"/>
    <w:rsid w:val="00441162"/>
    <w:rPr>
      <w:rFonts w:ascii="Sylfaen" w:hAnsi="Sylfaen"/>
      <w:i/>
      <w:color w:val="000000"/>
      <w:w w:val="100"/>
      <w:position w:val="0"/>
      <w:sz w:val="25"/>
      <w:u w:val="none"/>
      <w:shd w:val="clear" w:color="auto" w:fill="FFFFFF"/>
      <w:lang w:val="ru-RU"/>
    </w:rPr>
  </w:style>
  <w:style w:type="numbering" w:customStyle="1" w:styleId="25">
    <w:name w:val="Нет списка2"/>
    <w:next w:val="a3"/>
    <w:semiHidden/>
    <w:unhideWhenUsed/>
    <w:rsid w:val="00441162"/>
  </w:style>
  <w:style w:type="numbering" w:customStyle="1" w:styleId="33">
    <w:name w:val="Нет списка3"/>
    <w:next w:val="a3"/>
    <w:semiHidden/>
    <w:rsid w:val="00A35EAE"/>
  </w:style>
  <w:style w:type="table" w:customStyle="1" w:styleId="26">
    <w:name w:val="Сетка таблицы2"/>
    <w:basedOn w:val="a2"/>
    <w:next w:val="ad"/>
    <w:rsid w:val="00A3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rsid w:val="00A35EAE"/>
  </w:style>
  <w:style w:type="table" w:customStyle="1" w:styleId="111">
    <w:name w:val="Сетка таблицы11"/>
    <w:basedOn w:val="a2"/>
    <w:next w:val="ad"/>
    <w:rsid w:val="00A3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semiHidden/>
    <w:unhideWhenUsed/>
    <w:rsid w:val="00A3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1965</c:v>
                </c:pt>
                <c:pt idx="1">
                  <c:v>1923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Безработные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94" b="0" i="0" u="none" strike="noStrike" baseline="0">
                    <a:solidFill>
                      <a:srgbClr val="000000"/>
                    </a:solidFill>
                    <a:latin typeface="Courier New" panose="02070309020205020404" pitchFamily="49" charset="0"/>
                    <a:ea typeface="Calibri"/>
                    <a:cs typeface="Courier New" panose="02070309020205020404" pitchFamily="49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Пенсионеры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430</c:v>
                </c:pt>
                <c:pt idx="1">
                  <c:v>419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Инвалиды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120</c:v>
                </c:pt>
                <c:pt idx="1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001216"/>
        <c:axId val="126785728"/>
        <c:axId val="0"/>
      </c:bar3DChart>
      <c:catAx>
        <c:axId val="4500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  <c:crossAx val="126785728"/>
        <c:crosses val="autoZero"/>
        <c:auto val="1"/>
        <c:lblAlgn val="ctr"/>
        <c:lblOffset val="100"/>
        <c:noMultiLvlLbl val="0"/>
      </c:catAx>
      <c:valAx>
        <c:axId val="1267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  <c:crossAx val="45001216"/>
        <c:crosses val="autoZero"/>
        <c:crossBetween val="between"/>
      </c:valAx>
      <c:spPr>
        <a:noFill/>
        <a:ln w="2526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94" b="0" i="0" u="none" strike="noStrike" baseline="0">
                <a:solidFill>
                  <a:srgbClr val="000000"/>
                </a:solidFill>
                <a:latin typeface="Courier New" panose="02070309020205020404" pitchFamily="49" charset="0"/>
                <a:ea typeface="Calibri"/>
                <a:cs typeface="Courier New" panose="02070309020205020404" pitchFamily="49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B143-F3B5-480B-931B-6F2B18E2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47</Pages>
  <Words>13259</Words>
  <Characters>75579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129</cp:revision>
  <cp:lastPrinted>2018-10-29T02:32:00Z</cp:lastPrinted>
  <dcterms:created xsi:type="dcterms:W3CDTF">2018-04-27T06:32:00Z</dcterms:created>
  <dcterms:modified xsi:type="dcterms:W3CDTF">2023-02-20T08:09:00Z</dcterms:modified>
</cp:coreProperties>
</file>