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1"/>
        <w:widowControl w:val="1"/>
        <w:ind/>
        <w:jc w:val="center"/>
        <w:rPr>
          <w:rFonts w:ascii="Times New Roman" w:hAnsi="Times New Roman"/>
          <w:b w:val="1"/>
          <w:caps w:val="1"/>
          <w:sz w:val="27"/>
        </w:rPr>
      </w:pPr>
      <w:r>
        <w:rPr>
          <w:rStyle w:val="Style_2_ch"/>
          <w:rFonts w:ascii="Times New Roman" w:hAnsi="Times New Roman"/>
          <w:b w:val="1"/>
          <w:caps w:val="1"/>
          <w:sz w:val="28"/>
        </w:rPr>
        <w:t xml:space="preserve">С 1 октября 2026 года вступает в силу </w:t>
      </w:r>
      <w:r>
        <w:rPr>
          <w:rStyle w:val="Style_2_ch"/>
          <w:rFonts w:ascii="Times New Roman" w:hAnsi="Times New Roman"/>
          <w:b w:val="1"/>
          <w:caps w:val="1"/>
          <w:sz w:val="28"/>
        </w:rPr>
        <w:t xml:space="preserve">Федеральный закон от 31.07.2025 №289-ФЗ </w:t>
      </w:r>
      <w:r>
        <w:rPr>
          <w:rStyle w:val="Style_2_ch"/>
          <w:rFonts w:ascii="Times New Roman" w:hAnsi="Times New Roman"/>
          <w:b w:val="1"/>
          <w:caps w:val="1"/>
          <w:sz w:val="28"/>
        </w:rPr>
        <w:t>«Об отдельных вопросах регулирования платформенной экономики в Российской Федерации»</w:t>
      </w:r>
    </w:p>
    <w:p w14:paraId="05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7"/>
        </w:rPr>
      </w:pPr>
    </w:p>
    <w:p w14:paraId="06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sz w:val="28"/>
        </w:rPr>
        <w:t xml:space="preserve">С 1 октября </w:t>
      </w:r>
      <w:r>
        <w:rPr>
          <w:rStyle w:val="Style_2_ch"/>
          <w:rFonts w:ascii="Times New Roman" w:hAnsi="Times New Roman"/>
          <w:b w:val="0"/>
          <w:sz w:val="28"/>
        </w:rPr>
        <w:t xml:space="preserve">2026 года вступил в силу 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Федеральный закон от 31.07.2025 №289-ФЗ «</w:t>
      </w:r>
      <w:r>
        <w:rPr>
          <w:rStyle w:val="Style_2_ch"/>
          <w:rFonts w:ascii="Times New Roman" w:hAnsi="Times New Roman"/>
          <w:b w:val="0"/>
          <w:sz w:val="28"/>
        </w:rPr>
        <w:t>Об отдельных вопросах регулирования платформенной экономики в Российской Федерации»</w:t>
      </w:r>
      <w:r>
        <w:rPr>
          <w:rStyle w:val="Style_2_ch"/>
          <w:rFonts w:ascii="Times New Roman" w:hAnsi="Times New Roman"/>
          <w:b w:val="0"/>
          <w:sz w:val="28"/>
        </w:rPr>
        <w:t xml:space="preserve">. </w:t>
      </w:r>
    </w:p>
    <w:p w14:paraId="07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sz w:val="28"/>
        </w:rPr>
        <w:t>Закон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определяет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правовые основы платформенной экономики и регулирует отношения, возникающие между операторами посреднических цифровых платформ, их партнерами, пользователями и иными лицами в связи с продажей товаров, выполнением работ, оказанием услуг.</w:t>
      </w:r>
    </w:p>
    <w:p w14:paraId="08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sz w:val="28"/>
        </w:rPr>
        <w:t>Установлен понятийный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аппарат</w:t>
      </w:r>
      <w:r>
        <w:rPr>
          <w:rStyle w:val="Style_2_ch"/>
          <w:rFonts w:ascii="Times New Roman" w:hAnsi="Times New Roman"/>
          <w:b w:val="0"/>
          <w:sz w:val="28"/>
        </w:rPr>
        <w:t>. Так, под платформенной экономикой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понимается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совокупность организационных и имущественных отношений, складывающихся в результате взаимодействия неограниченного круга лиц посредством цифровых платформ для осуществления предпринимательской деятельности или в иных целях.</w:t>
      </w:r>
    </w:p>
    <w:p w14:paraId="09000000">
      <w:pPr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sz w:val="28"/>
        </w:rPr>
        <w:t>Посреднической цифровой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платформой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является цифровая платформа, обеспечивающая взаимодействие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оператора</w:t>
      </w:r>
      <w:r>
        <w:rPr>
          <w:rStyle w:val="Style_2_ch"/>
          <w:rFonts w:ascii="Times New Roman" w:hAnsi="Times New Roman"/>
          <w:b w:val="0"/>
          <w:sz w:val="28"/>
        </w:rPr>
        <w:t>,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партнеров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(</w:t>
      </w:r>
      <w:r>
        <w:rPr>
          <w:rStyle w:val="Style_2_ch"/>
          <w:rFonts w:ascii="Times New Roman" w:hAnsi="Times New Roman"/>
          <w:b w:val="0"/>
          <w:sz w:val="28"/>
        </w:rPr>
        <w:t>продавцов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и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исполнителей</w:t>
      </w:r>
      <w:r>
        <w:rPr>
          <w:rStyle w:val="Style_2_ch"/>
          <w:rFonts w:ascii="Times New Roman" w:hAnsi="Times New Roman"/>
          <w:b w:val="0"/>
          <w:sz w:val="28"/>
        </w:rPr>
        <w:t>) и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пользователей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в целях заключения гражданско-правовых договоров, предоставляющая технические возможности размещения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заказов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и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карточек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товаров, работ, услуг, совершения сделок, оплаты товара, работы, услуги пользователем в пользу партнера, соответствующая дополнительным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критериям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и включенная в соответствующий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реестр</w:t>
      </w:r>
      <w:r>
        <w:rPr>
          <w:rStyle w:val="Style_2_ch"/>
          <w:rFonts w:ascii="Times New Roman" w:hAnsi="Times New Roman"/>
          <w:b w:val="0"/>
          <w:sz w:val="28"/>
        </w:rPr>
        <w:t>.</w:t>
      </w:r>
    </w:p>
    <w:p w14:paraId="0A000000">
      <w:pPr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sz w:val="28"/>
        </w:rPr>
        <w:t>Установлены:</w:t>
      </w:r>
    </w:p>
    <w:p w14:paraId="0B000000">
      <w:pPr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sz w:val="28"/>
        </w:rPr>
        <w:t>-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порядок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взаимодействия оператора, партнеров и владельцев пунктов выдачи заказов;</w:t>
      </w:r>
    </w:p>
    <w:p w14:paraId="0C000000">
      <w:pPr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sz w:val="28"/>
        </w:rPr>
        <w:t>-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особенности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взаимодействия операторов, пользователей-заказчиков и партнеров-исполнителей, являющихся физическими лицами;</w:t>
      </w:r>
    </w:p>
    <w:p w14:paraId="0D000000">
      <w:pPr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sz w:val="28"/>
        </w:rPr>
        <w:t>-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положения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о логистической инфраструктуре оператора;</w:t>
      </w:r>
    </w:p>
    <w:p w14:paraId="0E000000">
      <w:pPr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sz w:val="28"/>
        </w:rPr>
        <w:t>-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правила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проверки оператором посреднической цифровой платформы сведений о лице, имеющем намерение стать партнером посреднической цифровой платформы или владельцем пункта приема и выдачи заказов;</w:t>
      </w:r>
    </w:p>
    <w:p w14:paraId="0F000000">
      <w:pPr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sz w:val="28"/>
        </w:rPr>
        <w:t>-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правила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проверки оператором посреднической цифровой платформы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информации</w:t>
      </w:r>
      <w:r>
        <w:rPr>
          <w:rStyle w:val="Style_2_ch"/>
          <w:rFonts w:ascii="Times New Roman" w:hAnsi="Times New Roman"/>
          <w:b w:val="0"/>
          <w:sz w:val="28"/>
        </w:rPr>
        <w:t>, содержащейся в размещаемой карточке товара, работы, услуги;</w:t>
      </w:r>
    </w:p>
    <w:p w14:paraId="10000000">
      <w:pPr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sz w:val="28"/>
        </w:rPr>
        <w:t>-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правила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информационного взаимодействия операторов посреднических цифровых платформ с налоговыми органами.</w:t>
      </w:r>
    </w:p>
    <w:p w14:paraId="11000000">
      <w:pPr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sz w:val="28"/>
        </w:rPr>
        <w:t>Федеральный государственный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контроль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(надзор) за соблюдением требований в сфере платформенной экономики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осуществляется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ФАС России.</w:t>
      </w:r>
    </w:p>
    <w:p w14:paraId="12000000">
      <w:pPr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sz w:val="28"/>
        </w:rPr>
        <w:t>Кроме того, принят ряд подзаконных актов и внесены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изменения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в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Закон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о защите прав потребителей и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Закон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о деятельности иностранных лиц в Интернете на территории РФ.</w:t>
      </w:r>
    </w:p>
    <w:p w14:paraId="13000000">
      <w:pPr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sz w:val="28"/>
        </w:rPr>
        <w:t>Так, иностранное лицо, являющееся оператором посреднической цифровой платформы, сведения о которой включены в соответствующий реестр и доступ к которой в течение суток составляет 500 тыс. и менее пользователей, находящихся на территории РФ,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признается</w:t>
      </w:r>
      <w:r>
        <w:rPr>
          <w:rStyle w:val="Style_2_ch"/>
          <w:rFonts w:ascii="Times New Roman" w:hAnsi="Times New Roman"/>
          <w:b w:val="0"/>
          <w:sz w:val="28"/>
        </w:rPr>
        <w:t xml:space="preserve"> </w:t>
      </w:r>
      <w:r>
        <w:rPr>
          <w:rStyle w:val="Style_2_ch"/>
          <w:rFonts w:ascii="Times New Roman" w:hAnsi="Times New Roman"/>
          <w:b w:val="0"/>
          <w:sz w:val="28"/>
        </w:rPr>
        <w:t>иностранным лицом, осуществляющим деятельность в Интернете на территории РФ.</w:t>
      </w:r>
    </w:p>
    <w:p w14:paraId="14000000">
      <w:pPr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15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16000000">
      <w:pPr>
        <w:widowControl w:val="1"/>
        <w:spacing w:after="0"/>
        <w:ind w:left="637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Старший</w:t>
      </w:r>
      <w:r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омощник</w:t>
      </w:r>
      <w:r>
        <w:rPr>
          <w:rFonts w:ascii="Times New Roman" w:hAnsi="Times New Roman"/>
          <w:sz w:val="28"/>
        </w:rPr>
        <w:t xml:space="preserve"> прокурора</w:t>
      </w:r>
      <w:r>
        <w:rPr>
          <w:rFonts w:ascii="Times New Roman" w:hAnsi="Times New Roman"/>
          <w:sz w:val="28"/>
        </w:rPr>
        <w:t xml:space="preserve"> Братского</w:t>
      </w:r>
      <w:r>
        <w:rPr>
          <w:rFonts w:ascii="Times New Roman" w:hAnsi="Times New Roman"/>
          <w:sz w:val="28"/>
        </w:rPr>
        <w:t xml:space="preserve"> района</w:t>
      </w:r>
      <w:r>
        <w:rPr>
          <w:rFonts w:ascii="Times New Roman" w:hAnsi="Times New Roman"/>
          <w:sz w:val="28"/>
        </w:rPr>
        <w:t xml:space="preserve"> </w:t>
      </w:r>
    </w:p>
    <w:p w14:paraId="17000000">
      <w:pPr>
        <w:widowControl w:val="1"/>
        <w:spacing w:after="0"/>
        <w:ind w:left="6379"/>
        <w:rPr>
          <w:rFonts w:ascii="Times New Roman" w:hAnsi="Times New Roman"/>
          <w:sz w:val="28"/>
        </w:rPr>
      </w:pPr>
    </w:p>
    <w:p w14:paraId="18000000">
      <w:pPr>
        <w:widowControl w:val="1"/>
        <w:spacing w:after="0"/>
        <w:ind w:left="637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Ефимов</w:t>
      </w:r>
      <w:r>
        <w:rPr>
          <w:rFonts w:ascii="Times New Roman" w:hAnsi="Times New Roman"/>
          <w:sz w:val="28"/>
        </w:rPr>
        <w:t xml:space="preserve"> Д.А.</w:t>
      </w:r>
    </w:p>
    <w:p w14:paraId="19000000">
      <w:pPr>
        <w:pStyle w:val="Style_1"/>
        <w:widowControl w:val="1"/>
        <w:ind/>
        <w:jc w:val="both"/>
      </w:pPr>
    </w:p>
    <w:sectPr>
      <w:footerReference r:id="rId2" w:type="default"/>
      <w:footerReference r:id="rId1" w:type="first"/>
      <w:pgSz w:h="16838" w:orient="portrait" w:w="11906"/>
      <w:pgMar w:bottom="1440" w:footer="0" w:gutter="0" w:header="0" w:left="1133" w:right="566" w:top="1440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pBdr>
        <w:bottom w:color="000000" w:space="0" w:sz="12" w:val="single"/>
      </w:pBdr>
      <w:ind/>
      <w:rPr>
        <w:sz w:val="2"/>
      </w:rPr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1"/>
      <w:pBdr>
        <w:bottom w:color="000000" w:space="0" w:sz="12" w:val="single"/>
      </w:pBdr>
      <w:ind/>
      <w:jc w:val="center"/>
      <w:rPr>
        <w:sz w:val="2"/>
      </w:rPr>
    </w:pPr>
  </w:p>
  <w:p w14:paraId="03000000">
    <w:pPr>
      <w:pStyle w:val="Style_1"/>
      <w:rPr>
        <w:sz w:val="2"/>
      </w:rPr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160" w:before="0" w:line="259" w:lineRule="auto"/>
      <w:ind w:firstLine="0" w:left="0" w:right="0"/>
      <w:jc w:val="left"/>
    </w:pPr>
    <w:rPr>
      <w:rFonts w:ascii="Calibri" w:hAnsi="Calibri"/>
      <w:color w:val="000000"/>
      <w:spacing w:val="0"/>
      <w:sz w:val="22"/>
    </w:rPr>
  </w:style>
  <w:style w:default="1" w:styleId="Style_2_ch" w:type="character">
    <w:name w:val="Normal"/>
    <w:link w:val="Style_2"/>
    <w:rPr>
      <w:rFonts w:ascii="Calibri" w:hAnsi="Calibri"/>
      <w:color w:val="000000"/>
      <w:spacing w:val="0"/>
      <w:sz w:val="22"/>
    </w:rPr>
  </w:style>
  <w:style w:styleId="Style_3" w:type="paragraph">
    <w:name w:val="toc 2"/>
    <w:next w:val="Style_2"/>
    <w:link w:val="Style_3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3_ch" w:type="character">
    <w:name w:val="toc 2"/>
    <w:link w:val="Style_3"/>
    <w:rPr>
      <w:rFonts w:ascii="XO Thames" w:hAnsi="XO Thames"/>
      <w:color w:val="000000"/>
      <w:spacing w:val="0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4_ch" w:type="character">
    <w:name w:val="toc 4"/>
    <w:link w:val="Style_4"/>
    <w:rPr>
      <w:rFonts w:ascii="XO Thames" w:hAnsi="XO Thames"/>
      <w:color w:val="000000"/>
      <w:spacing w:val="0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6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7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Endnote"/>
    <w:link w:val="Style_7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7_ch" w:type="character">
    <w:name w:val="Endnote"/>
    <w:link w:val="Style_7"/>
    <w:rPr>
      <w:rFonts w:ascii="XO Thames" w:hAnsi="XO Thames"/>
      <w:color w:val="000000"/>
      <w:spacing w:val="0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8_ch" w:type="character">
    <w:name w:val="heading 3"/>
    <w:link w:val="Style_8"/>
    <w:rPr>
      <w:rFonts w:ascii="XO Thames" w:hAnsi="XO Thames"/>
      <w:b w:val="1"/>
      <w:color w:val="000000"/>
      <w:spacing w:val="0"/>
      <w:sz w:val="26"/>
    </w:rPr>
  </w:style>
  <w:style w:styleId="Style_9" w:type="paragraph">
    <w:name w:val="footer"/>
    <w:basedOn w:val="Style_2"/>
    <w:link w:val="Style_9_ch"/>
    <w:pPr>
      <w:widowControl w:val="1"/>
      <w:tabs>
        <w:tab w:leader="none" w:pos="4677" w:val="center"/>
        <w:tab w:leader="none" w:pos="9355" w:val="right"/>
      </w:tabs>
      <w:ind/>
      <w:jc w:val="left"/>
    </w:pPr>
  </w:style>
  <w:style w:styleId="Style_9_ch" w:type="character">
    <w:name w:val="footer"/>
    <w:basedOn w:val="Style_2_ch"/>
    <w:link w:val="Style_9"/>
  </w:style>
  <w:style w:styleId="Style_10" w:type="paragraph">
    <w:name w:val="ConsPlusTitle"/>
    <w:link w:val="Style_10_ch"/>
    <w:pPr>
      <w:widowControl w:val="0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0"/>
    </w:rPr>
  </w:style>
  <w:style w:styleId="Style_10_ch" w:type="character">
    <w:name w:val="ConsPlusTitle"/>
    <w:link w:val="Style_10"/>
    <w:rPr>
      <w:rFonts w:ascii="Arial" w:hAnsi="Arial"/>
      <w:b w:val="1"/>
      <w:color w:val="000000"/>
      <w:spacing w:val="0"/>
      <w:sz w:val="20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ConsPlusTextList1"/>
    <w:link w:val="Style_12_ch"/>
    <w:pPr>
      <w:widowControl w:val="0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20"/>
    </w:rPr>
  </w:style>
  <w:style w:styleId="Style_12_ch" w:type="character">
    <w:name w:val="ConsPlusTextList1"/>
    <w:link w:val="Style_12"/>
    <w:rPr>
      <w:rFonts w:ascii="Arial" w:hAnsi="Arial"/>
      <w:color w:val="000000"/>
      <w:spacing w:val="0"/>
      <w:sz w:val="20"/>
    </w:rPr>
  </w:style>
  <w:style w:styleId="Style_13" w:type="paragraph">
    <w:name w:val="toc 3"/>
    <w:next w:val="Style_2"/>
    <w:link w:val="Style_13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13_ch" w:type="character">
    <w:name w:val="toc 3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ConsPlusCell"/>
    <w:link w:val="Style_14_ch"/>
    <w:pPr>
      <w:widowControl w:val="0"/>
      <w:spacing w:after="0" w:before="0" w:line="240" w:lineRule="auto"/>
      <w:ind w:firstLine="0" w:left="0" w:right="0"/>
      <w:jc w:val="left"/>
    </w:pPr>
    <w:rPr>
      <w:rFonts w:ascii="Courier New" w:hAnsi="Courier New"/>
      <w:color w:val="000000"/>
      <w:spacing w:val="0"/>
      <w:sz w:val="20"/>
    </w:rPr>
  </w:style>
  <w:style w:styleId="Style_14_ch" w:type="character">
    <w:name w:val="ConsPlusCell"/>
    <w:link w:val="Style_14"/>
    <w:rPr>
      <w:rFonts w:ascii="Courier New" w:hAnsi="Courier New"/>
      <w:color w:val="000000"/>
      <w:spacing w:val="0"/>
      <w:sz w:val="20"/>
    </w:rPr>
  </w:style>
  <w:style w:styleId="Style_15" w:type="paragraph">
    <w:name w:val="ConsPlusTextList"/>
    <w:link w:val="Style_15_ch"/>
    <w:pPr>
      <w:widowControl w:val="0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20"/>
    </w:rPr>
  </w:style>
  <w:style w:styleId="Style_15_ch" w:type="character">
    <w:name w:val="ConsPlusTextList"/>
    <w:link w:val="Style_15"/>
    <w:rPr>
      <w:rFonts w:ascii="Arial" w:hAnsi="Arial"/>
      <w:color w:val="000000"/>
      <w:spacing w:val="0"/>
      <w:sz w:val="20"/>
    </w:rPr>
  </w:style>
  <w:style w:styleId="Style_1" w:type="paragraph">
    <w:name w:val="ConsPlusNormal"/>
    <w:link w:val="Style_1_ch"/>
    <w:pPr>
      <w:widowControl w:val="0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20"/>
    </w:rPr>
  </w:style>
  <w:style w:styleId="Style_1_ch" w:type="character">
    <w:name w:val="ConsPlusNormal"/>
    <w:link w:val="Style_1"/>
    <w:rPr>
      <w:rFonts w:ascii="Arial" w:hAnsi="Arial"/>
      <w:color w:val="000000"/>
      <w:spacing w:val="0"/>
      <w:sz w:val="20"/>
    </w:rPr>
  </w:style>
  <w:style w:styleId="Style_16" w:type="paragraph">
    <w:name w:val="heading 5"/>
    <w:next w:val="Style_2"/>
    <w:link w:val="Style_1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16_ch" w:type="character">
    <w:name w:val="heading 5"/>
    <w:link w:val="Style_16"/>
    <w:rPr>
      <w:rFonts w:ascii="XO Thames" w:hAnsi="XO Thames"/>
      <w:b w:val="1"/>
      <w:color w:val="000000"/>
      <w:spacing w:val="0"/>
      <w:sz w:val="22"/>
    </w:rPr>
  </w:style>
  <w:style w:styleId="Style_17" w:type="paragraph">
    <w:name w:val="heading 1"/>
    <w:next w:val="Style_2"/>
    <w:link w:val="Style_17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17_ch" w:type="character">
    <w:name w:val="heading 1"/>
    <w:link w:val="Style_17"/>
    <w:rPr>
      <w:rFonts w:ascii="XO Thames" w:hAnsi="XO Thames"/>
      <w:b w:val="1"/>
      <w:color w:val="000000"/>
      <w:spacing w:val="0"/>
      <w:sz w:val="32"/>
    </w:rPr>
  </w:style>
  <w:style w:styleId="Style_18" w:type="paragraph">
    <w:name w:val="Normal (Web)"/>
    <w:basedOn w:val="Style_2"/>
    <w:link w:val="Style_18_ch"/>
    <w:pPr>
      <w:widowControl w:val="1"/>
      <w:spacing w:afterAutospacing="on" w:beforeAutospacing="on" w:line="240" w:lineRule="auto"/>
      <w:ind/>
      <w:jc w:val="left"/>
    </w:pPr>
    <w:rPr>
      <w:rFonts w:ascii="Times New Roman" w:hAnsi="Times New Roman"/>
      <w:sz w:val="24"/>
    </w:rPr>
  </w:style>
  <w:style w:styleId="Style_18_ch" w:type="character">
    <w:name w:val="Normal (Web)"/>
    <w:basedOn w:val="Style_2_ch"/>
    <w:link w:val="Style_18"/>
    <w:rPr>
      <w:rFonts w:ascii="Times New Roman" w:hAnsi="Times New Roman"/>
      <w:sz w:val="24"/>
    </w:rPr>
  </w:style>
  <w:style w:styleId="Style_19" w:type="paragraph">
    <w:name w:val="Hyperlink"/>
    <w:link w:val="Style_19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19_ch" w:type="character">
    <w:name w:val="Hyperlink"/>
    <w:link w:val="Style_19"/>
    <w:rPr>
      <w:rFonts w:ascii="Calibri" w:hAnsi="Calibri"/>
      <w:color w:val="0000FF"/>
      <w:spacing w:val="0"/>
      <w:sz w:val="22"/>
      <w:u w:val="single"/>
    </w:rPr>
  </w:style>
  <w:style w:styleId="Style_20" w:type="paragraph">
    <w:name w:val="Footnote"/>
    <w:link w:val="Style_20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0_ch" w:type="character">
    <w:name w:val="Footnote"/>
    <w:link w:val="Style_20"/>
    <w:rPr>
      <w:rFonts w:ascii="XO Thames" w:hAnsi="XO Thames"/>
      <w:color w:val="000000"/>
      <w:spacing w:val="0"/>
      <w:sz w:val="22"/>
    </w:rPr>
  </w:style>
  <w:style w:styleId="Style_21" w:type="paragraph">
    <w:name w:val="toc 1"/>
    <w:next w:val="Style_2"/>
    <w:link w:val="Style_21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1_ch" w:type="character">
    <w:name w:val="toc 1"/>
    <w:link w:val="Style_21"/>
    <w:rPr>
      <w:rFonts w:ascii="XO Thames" w:hAnsi="XO Thames"/>
      <w:b w:val="1"/>
      <w:color w:val="000000"/>
      <w:spacing w:val="0"/>
      <w:sz w:val="28"/>
    </w:rPr>
  </w:style>
  <w:style w:styleId="Style_22" w:type="paragraph">
    <w:name w:val="Header and Footer"/>
    <w:link w:val="Style_22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22_ch" w:type="character">
    <w:name w:val="Header and Footer"/>
    <w:link w:val="Style_22"/>
    <w:rPr>
      <w:rFonts w:ascii="XO Thames" w:hAnsi="XO Thames"/>
      <w:color w:val="000000"/>
      <w:spacing w:val="0"/>
      <w:sz w:val="28"/>
    </w:rPr>
  </w:style>
  <w:style w:styleId="Style_23" w:type="paragraph">
    <w:name w:val="toc 9"/>
    <w:next w:val="Style_2"/>
    <w:link w:val="Style_23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23_ch" w:type="character">
    <w:name w:val="toc 9"/>
    <w:link w:val="Style_23"/>
    <w:rPr>
      <w:rFonts w:ascii="XO Thames" w:hAnsi="XO Thames"/>
      <w:color w:val="000000"/>
      <w:spacing w:val="0"/>
      <w:sz w:val="28"/>
    </w:rPr>
  </w:style>
  <w:style w:styleId="Style_24" w:type="paragraph">
    <w:name w:val="ConsPlusDocList"/>
    <w:link w:val="Style_24_ch"/>
    <w:pPr>
      <w:widowControl w:val="0"/>
      <w:spacing w:after="0" w:before="0" w:line="240" w:lineRule="auto"/>
      <w:ind w:firstLine="0" w:left="0" w:right="0"/>
      <w:jc w:val="left"/>
    </w:pPr>
    <w:rPr>
      <w:rFonts w:ascii="Tahoma" w:hAnsi="Tahoma"/>
      <w:color w:val="000000"/>
      <w:spacing w:val="0"/>
      <w:sz w:val="18"/>
    </w:rPr>
  </w:style>
  <w:style w:styleId="Style_24_ch" w:type="character">
    <w:name w:val="ConsPlusDocList"/>
    <w:link w:val="Style_24"/>
    <w:rPr>
      <w:rFonts w:ascii="Tahoma" w:hAnsi="Tahoma"/>
      <w:color w:val="000000"/>
      <w:spacing w:val="0"/>
      <w:sz w:val="18"/>
    </w:rPr>
  </w:style>
  <w:style w:styleId="Style_25" w:type="paragraph">
    <w:name w:val="toc 8"/>
    <w:next w:val="Style_2"/>
    <w:link w:val="Style_25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25_ch" w:type="character">
    <w:name w:val="toc 8"/>
    <w:link w:val="Style_25"/>
    <w:rPr>
      <w:rFonts w:ascii="XO Thames" w:hAnsi="XO Thames"/>
      <w:color w:val="000000"/>
      <w:spacing w:val="0"/>
      <w:sz w:val="28"/>
    </w:rPr>
  </w:style>
  <w:style w:styleId="Style_26" w:type="paragraph">
    <w:name w:val="ConsPlusJurTerm"/>
    <w:link w:val="Style_26_ch"/>
    <w:pPr>
      <w:widowControl w:val="0"/>
      <w:spacing w:after="0" w:before="0" w:line="240" w:lineRule="auto"/>
      <w:ind w:firstLine="0" w:left="0" w:right="0"/>
      <w:jc w:val="left"/>
    </w:pPr>
    <w:rPr>
      <w:rFonts w:ascii="Tahoma" w:hAnsi="Tahoma"/>
      <w:color w:val="000000"/>
      <w:spacing w:val="0"/>
      <w:sz w:val="26"/>
    </w:rPr>
  </w:style>
  <w:style w:styleId="Style_26_ch" w:type="character">
    <w:name w:val="ConsPlusJurTerm"/>
    <w:link w:val="Style_26"/>
    <w:rPr>
      <w:rFonts w:ascii="Tahoma" w:hAnsi="Tahoma"/>
      <w:color w:val="000000"/>
      <w:spacing w:val="0"/>
      <w:sz w:val="26"/>
    </w:rPr>
  </w:style>
  <w:style w:styleId="Style_27" w:type="paragraph">
    <w:name w:val="toc 5"/>
    <w:next w:val="Style_2"/>
    <w:link w:val="Style_27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27_ch" w:type="character">
    <w:name w:val="toc 5"/>
    <w:link w:val="Style_27"/>
    <w:rPr>
      <w:rFonts w:ascii="XO Thames" w:hAnsi="XO Thames"/>
      <w:color w:val="000000"/>
      <w:spacing w:val="0"/>
      <w:sz w:val="28"/>
    </w:rPr>
  </w:style>
  <w:style w:styleId="Style_28" w:type="paragraph">
    <w:name w:val="ConsPlusTitlePage"/>
    <w:link w:val="Style_28_ch"/>
    <w:pPr>
      <w:widowControl w:val="0"/>
      <w:spacing w:after="0" w:before="0" w:line="240" w:lineRule="auto"/>
      <w:ind w:firstLine="0" w:left="0" w:right="0"/>
      <w:jc w:val="left"/>
    </w:pPr>
    <w:rPr>
      <w:rFonts w:ascii="Tahoma" w:hAnsi="Tahoma"/>
      <w:color w:val="000000"/>
      <w:spacing w:val="0"/>
      <w:sz w:val="20"/>
    </w:rPr>
  </w:style>
  <w:style w:styleId="Style_28_ch" w:type="character">
    <w:name w:val="ConsPlusTitlePage"/>
    <w:link w:val="Style_28"/>
    <w:rPr>
      <w:rFonts w:ascii="Tahoma" w:hAnsi="Tahoma"/>
      <w:color w:val="000000"/>
      <w:spacing w:val="0"/>
      <w:sz w:val="20"/>
    </w:rPr>
  </w:style>
  <w:style w:styleId="Style_29" w:type="paragraph">
    <w:name w:val="header"/>
    <w:basedOn w:val="Style_2"/>
    <w:link w:val="Style_29_ch"/>
    <w:pPr>
      <w:widowControl w:val="1"/>
      <w:tabs>
        <w:tab w:leader="none" w:pos="4677" w:val="center"/>
        <w:tab w:leader="none" w:pos="9355" w:val="right"/>
      </w:tabs>
      <w:ind/>
      <w:jc w:val="left"/>
    </w:pPr>
  </w:style>
  <w:style w:styleId="Style_29_ch" w:type="character">
    <w:name w:val="header"/>
    <w:basedOn w:val="Style_2_ch"/>
    <w:link w:val="Style_29"/>
  </w:style>
  <w:style w:styleId="Style_30" w:type="paragraph">
    <w:name w:val="ConsPlusNonformat"/>
    <w:link w:val="Style_30_ch"/>
    <w:pPr>
      <w:widowControl w:val="0"/>
      <w:spacing w:after="0" w:before="0" w:line="240" w:lineRule="auto"/>
      <w:ind w:firstLine="0" w:left="0" w:right="0"/>
      <w:jc w:val="left"/>
    </w:pPr>
    <w:rPr>
      <w:rFonts w:ascii="Courier New" w:hAnsi="Courier New"/>
      <w:color w:val="000000"/>
      <w:spacing w:val="0"/>
      <w:sz w:val="20"/>
    </w:rPr>
  </w:style>
  <w:style w:styleId="Style_30_ch" w:type="character">
    <w:name w:val="ConsPlusNonformat"/>
    <w:link w:val="Style_30"/>
    <w:rPr>
      <w:rFonts w:ascii="Courier New" w:hAnsi="Courier New"/>
      <w:color w:val="000000"/>
      <w:spacing w:val="0"/>
      <w:sz w:val="20"/>
    </w:rPr>
  </w:style>
  <w:style w:styleId="Style_31" w:type="paragraph">
    <w:name w:val="Subtitle"/>
    <w:next w:val="Style_2"/>
    <w:link w:val="Style_31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31_ch" w:type="character">
    <w:name w:val="Subtitle"/>
    <w:link w:val="Style_31"/>
    <w:rPr>
      <w:rFonts w:ascii="XO Thames" w:hAnsi="XO Thames"/>
      <w:i w:val="1"/>
      <w:color w:val="000000"/>
      <w:spacing w:val="0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color w:val="000000"/>
      <w:spacing w:val="0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33_ch" w:type="character">
    <w:name w:val="heading 4"/>
    <w:link w:val="Style_33"/>
    <w:rPr>
      <w:rFonts w:ascii="XO Thames" w:hAnsi="XO Thames"/>
      <w:b w:val="1"/>
      <w:color w:val="000000"/>
      <w:spacing w:val="0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34_ch" w:type="character">
    <w:name w:val="heading 2"/>
    <w:link w:val="Style_34"/>
    <w:rPr>
      <w:rFonts w:ascii="XO Thames" w:hAnsi="XO Thames"/>
      <w:b w:val="1"/>
      <w:color w:val="000000"/>
      <w:spacing w:val="0"/>
      <w:sz w:val="28"/>
    </w:rPr>
  </w:style>
  <w:style w:default="1" w:styleId="Style_35" w:type="table">
    <w:name w:val="Normal Table"/>
    <w:tblPr>
      <w:jc w:val="left"/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2026-10-16T06:51:33Z</dcterms:created>
  <dcterms:modified xsi:type="dcterms:W3CDTF">2026-10-16T07:51:08Z</dcterms:modified>
</cp:coreProperties>
</file>