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84" w:rsidRPr="004D2084" w:rsidRDefault="004D2084" w:rsidP="004D208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06.09.2022 г. № 41</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РОССИЙСКАЯ ФЕДЕРАЦИЯ</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ИРКУТСКАЯ ОБЛАСТЬ</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БРАТСКИЙ РАЙОН</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КАЛТУКСКОЕ МУНИЦИПАЛЬНОЕ ОБРАЗОВАНИЕ</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АДМИНИСТРАЦИЯ</w:t>
      </w:r>
    </w:p>
    <w:p w:rsidR="004D2084" w:rsidRDefault="004D2084" w:rsidP="004D2084">
      <w:pPr>
        <w:spacing w:after="0" w:line="240" w:lineRule="auto"/>
        <w:ind w:right="138"/>
        <w:jc w:val="center"/>
        <w:rPr>
          <w:rFonts w:ascii="Arial" w:hAnsi="Arial" w:cs="Arial"/>
          <w:b/>
          <w:bCs/>
          <w:color w:val="000000"/>
          <w:sz w:val="24"/>
          <w:szCs w:val="24"/>
        </w:rPr>
      </w:pPr>
      <w:r w:rsidRPr="004D2084">
        <w:rPr>
          <w:rFonts w:ascii="Arial" w:eastAsia="Times New Roman" w:hAnsi="Arial" w:cs="Arial"/>
          <w:b/>
          <w:sz w:val="32"/>
          <w:szCs w:val="32"/>
          <w:lang w:eastAsia="ru-RU"/>
        </w:rPr>
        <w:t>ПОСТАНОВЛЕНИЕ</w:t>
      </w:r>
      <w:r w:rsidRPr="00FE3CB9">
        <w:rPr>
          <w:rFonts w:ascii="Arial" w:hAnsi="Arial" w:cs="Arial"/>
          <w:b/>
          <w:bCs/>
          <w:color w:val="000000"/>
          <w:sz w:val="24"/>
          <w:szCs w:val="24"/>
        </w:rPr>
        <w:t xml:space="preserve"> </w:t>
      </w:r>
    </w:p>
    <w:p w:rsidR="004D2084" w:rsidRPr="004D2084" w:rsidRDefault="004D2084" w:rsidP="004D2084">
      <w:pPr>
        <w:spacing w:after="0" w:line="240" w:lineRule="auto"/>
        <w:ind w:right="138"/>
        <w:jc w:val="center"/>
        <w:rPr>
          <w:rFonts w:ascii="Arial" w:hAnsi="Arial" w:cs="Arial"/>
          <w:b/>
          <w:bCs/>
          <w:color w:val="000000"/>
          <w:sz w:val="32"/>
          <w:szCs w:val="32"/>
        </w:rPr>
      </w:pPr>
    </w:p>
    <w:p w:rsidR="00FE3CB9" w:rsidRPr="004D2084" w:rsidRDefault="00FE3CB9" w:rsidP="004D2084">
      <w:pPr>
        <w:spacing w:after="0" w:line="240" w:lineRule="auto"/>
        <w:ind w:right="138"/>
        <w:jc w:val="center"/>
        <w:rPr>
          <w:rFonts w:ascii="Arial" w:hAnsi="Arial" w:cs="Arial"/>
          <w:b/>
          <w:bCs/>
          <w:color w:val="000000"/>
          <w:sz w:val="32"/>
          <w:szCs w:val="32"/>
        </w:rPr>
      </w:pPr>
      <w:r w:rsidRPr="004D2084">
        <w:rPr>
          <w:rFonts w:ascii="Arial" w:hAnsi="Arial" w:cs="Arial"/>
          <w:b/>
          <w:bCs/>
          <w:color w:val="000000"/>
          <w:sz w:val="32"/>
          <w:szCs w:val="32"/>
        </w:rPr>
        <w:t xml:space="preserve">ОБ УТВЕРЖДЕНИИ ПРОГРАММЫ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w:t>
      </w:r>
      <w:r w:rsidR="00487EA5" w:rsidRPr="004D2084">
        <w:rPr>
          <w:rFonts w:ascii="Arial" w:hAnsi="Arial" w:cs="Arial"/>
          <w:b/>
          <w:bCs/>
          <w:color w:val="000000"/>
          <w:sz w:val="32"/>
          <w:szCs w:val="32"/>
        </w:rPr>
        <w:t>КАЛТУК</w:t>
      </w:r>
      <w:r w:rsidRPr="004D2084">
        <w:rPr>
          <w:rFonts w:ascii="Arial" w:hAnsi="Arial" w:cs="Arial"/>
          <w:b/>
          <w:bCs/>
          <w:color w:val="000000"/>
          <w:sz w:val="32"/>
          <w:szCs w:val="32"/>
        </w:rPr>
        <w:t>СКОГО МУНИЦИПАЛЬНОГО ОБРАЗОВАНИЯ НА 2022 ГОД</w:t>
      </w:r>
    </w:p>
    <w:p w:rsidR="00FE3CB9" w:rsidRPr="009833F8" w:rsidRDefault="00FE3CB9" w:rsidP="009833F8">
      <w:pPr>
        <w:spacing w:after="0" w:line="240" w:lineRule="auto"/>
        <w:ind w:right="138"/>
        <w:jc w:val="center"/>
        <w:rPr>
          <w:rFonts w:ascii="Arial" w:eastAsia="Calibri" w:hAnsi="Arial" w:cs="Arial"/>
          <w:sz w:val="24"/>
          <w:szCs w:val="24"/>
        </w:rPr>
      </w:pP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roofErr w:type="gramStart"/>
      <w:r w:rsidRPr="00FE3CB9">
        <w:rPr>
          <w:rFonts w:ascii="Arial" w:eastAsia="Times New Roman" w:hAnsi="Arial" w:cs="Arial"/>
          <w:color w:val="000000"/>
          <w:sz w:val="24"/>
          <w:szCs w:val="24"/>
          <w:lang w:eastAsia="ru-RU"/>
        </w:rPr>
        <w:t xml:space="preserve">В </w:t>
      </w:r>
      <w:r w:rsidR="004D2084">
        <w:rPr>
          <w:rFonts w:ascii="Arial" w:eastAsia="Times New Roman" w:hAnsi="Arial" w:cs="Arial"/>
          <w:color w:val="000000"/>
          <w:sz w:val="24"/>
          <w:szCs w:val="24"/>
          <w:lang w:eastAsia="ru-RU"/>
        </w:rPr>
        <w:t xml:space="preserve">соответствии со статьёй 44 </w:t>
      </w:r>
      <w:r w:rsidRPr="00FE3CB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sz w:val="24"/>
          <w:szCs w:val="24"/>
          <w:lang w:eastAsia="ru-RU"/>
        </w:rPr>
        <w:t>«О государственном контроле (надзоре) и муниципальном кон</w:t>
      </w:r>
      <w:r w:rsidR="004D2084">
        <w:rPr>
          <w:rFonts w:ascii="Arial" w:eastAsia="Times New Roman" w:hAnsi="Arial" w:cs="Arial"/>
          <w:sz w:val="24"/>
          <w:szCs w:val="24"/>
          <w:lang w:eastAsia="ru-RU"/>
        </w:rPr>
        <w:t xml:space="preserve">троле в Российской Федерации» и </w:t>
      </w:r>
      <w:r w:rsidRPr="00FE3CB9">
        <w:rPr>
          <w:rFonts w:ascii="Arial" w:eastAsia="Times New Roman" w:hAnsi="Arial" w:cs="Arial"/>
          <w:sz w:val="24"/>
          <w:szCs w:val="24"/>
          <w:lang w:eastAsia="ru-RU"/>
        </w:rPr>
        <w:t>постановлением Правительства Росси</w:t>
      </w:r>
      <w:r w:rsidR="004D2084">
        <w:rPr>
          <w:rFonts w:ascii="Arial" w:eastAsia="Times New Roman" w:hAnsi="Arial" w:cs="Arial"/>
          <w:sz w:val="24"/>
          <w:szCs w:val="24"/>
          <w:lang w:eastAsia="ru-RU"/>
        </w:rPr>
        <w:t xml:space="preserve">йской Федерации от 25.06.2021 № </w:t>
      </w:r>
      <w:r w:rsidRPr="00FE3CB9">
        <w:rPr>
          <w:rFonts w:ascii="Arial" w:eastAsia="Times New Roman" w:hAnsi="Arial" w:cs="Arial"/>
          <w:sz w:val="24"/>
          <w:szCs w:val="24"/>
          <w:lang w:eastAsia="ru-RU"/>
        </w:rPr>
        <w:t>990</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297064">
        <w:rPr>
          <w:rFonts w:ascii="Arial" w:eastAsia="Times New Roman" w:hAnsi="Arial" w:cs="Arial"/>
          <w:color w:val="000000"/>
          <w:sz w:val="24"/>
          <w:szCs w:val="24"/>
          <w:lang w:eastAsia="ru-RU"/>
        </w:rPr>
        <w:t xml:space="preserve">нспорте </w:t>
      </w:r>
      <w:r w:rsidRPr="00FE3CB9">
        <w:rPr>
          <w:rFonts w:ascii="Arial" w:eastAsia="Times New Roman" w:hAnsi="Arial" w:cs="Arial"/>
          <w:color w:val="000000"/>
          <w:sz w:val="24"/>
          <w:szCs w:val="24"/>
          <w:lang w:eastAsia="ru-RU"/>
        </w:rPr>
        <w:t>и в д</w:t>
      </w:r>
      <w:r w:rsidR="00487EA5">
        <w:rPr>
          <w:rFonts w:ascii="Arial" w:eastAsia="Times New Roman" w:hAnsi="Arial" w:cs="Arial"/>
          <w:color w:val="000000"/>
          <w:sz w:val="24"/>
          <w:szCs w:val="24"/>
          <w:lang w:eastAsia="ru-RU"/>
        </w:rPr>
        <w:t>орожном хозяйстве в границах Калтук</w:t>
      </w:r>
      <w:r w:rsidRPr="00FE3CB9">
        <w:rPr>
          <w:rFonts w:ascii="Arial" w:eastAsia="Times New Roman" w:hAnsi="Arial" w:cs="Arial"/>
          <w:color w:val="000000"/>
          <w:sz w:val="24"/>
          <w:szCs w:val="24"/>
          <w:lang w:eastAsia="ru-RU"/>
        </w:rPr>
        <w:t>ского</w:t>
      </w:r>
      <w:proofErr w:type="gramEnd"/>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утвержденном</w:t>
      </w:r>
      <w:proofErr w:type="gramEnd"/>
      <w:r>
        <w:rPr>
          <w:rFonts w:ascii="Arial" w:eastAsia="Times New Roman" w:hAnsi="Arial" w:cs="Arial"/>
          <w:color w:val="000000"/>
          <w:sz w:val="24"/>
          <w:szCs w:val="24"/>
          <w:lang w:eastAsia="ru-RU"/>
        </w:rPr>
        <w:t xml:space="preserve"> решением Думы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 </w:t>
      </w:r>
      <w:r w:rsidR="00487EA5">
        <w:rPr>
          <w:rFonts w:ascii="Arial" w:eastAsia="Times New Roman" w:hAnsi="Arial" w:cs="Arial"/>
          <w:color w:val="000000"/>
          <w:sz w:val="24"/>
          <w:szCs w:val="24"/>
          <w:lang w:eastAsia="ru-RU"/>
        </w:rPr>
        <w:t>177</w:t>
      </w:r>
      <w:r>
        <w:rPr>
          <w:rFonts w:ascii="Arial" w:eastAsia="Times New Roman" w:hAnsi="Arial" w:cs="Arial"/>
          <w:color w:val="000000"/>
          <w:sz w:val="24"/>
          <w:szCs w:val="24"/>
          <w:lang w:eastAsia="ru-RU"/>
        </w:rPr>
        <w:t xml:space="preserve"> от </w:t>
      </w:r>
      <w:r w:rsidR="00487EA5">
        <w:rPr>
          <w:rFonts w:ascii="Arial" w:eastAsia="Times New Roman" w:hAnsi="Arial" w:cs="Arial"/>
          <w:color w:val="000000"/>
          <w:sz w:val="24"/>
          <w:szCs w:val="24"/>
          <w:lang w:eastAsia="ru-RU"/>
        </w:rPr>
        <w:t>06.05</w:t>
      </w:r>
      <w:r>
        <w:rPr>
          <w:rFonts w:ascii="Arial" w:eastAsia="Times New Roman" w:hAnsi="Arial" w:cs="Arial"/>
          <w:color w:val="000000"/>
          <w:sz w:val="24"/>
          <w:szCs w:val="24"/>
          <w:lang w:eastAsia="ru-RU"/>
        </w:rPr>
        <w:t>.202</w:t>
      </w:r>
      <w:r w:rsidR="00487EA5">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г., руководствуясь Уставом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w:t>
      </w:r>
      <w:r w:rsidRPr="00FE3CB9">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487EA5">
        <w:rPr>
          <w:rFonts w:ascii="Arial" w:eastAsia="Times New Roman" w:hAnsi="Arial" w:cs="Arial"/>
          <w:color w:val="000000"/>
          <w:sz w:val="24"/>
          <w:szCs w:val="24"/>
          <w:lang w:eastAsia="ru-RU"/>
        </w:rPr>
        <w:t>Калтукс</w:t>
      </w:r>
      <w:r>
        <w:rPr>
          <w:rFonts w:ascii="Arial" w:eastAsia="Times New Roman" w:hAnsi="Arial" w:cs="Arial"/>
          <w:color w:val="000000"/>
          <w:sz w:val="24"/>
          <w:szCs w:val="24"/>
          <w:lang w:eastAsia="ru-RU"/>
        </w:rPr>
        <w:t>кого</w:t>
      </w:r>
      <w:r w:rsidRPr="00FE3CB9">
        <w:rPr>
          <w:rFonts w:ascii="Arial" w:eastAsia="Times New Roman" w:hAnsi="Arial" w:cs="Arial"/>
          <w:color w:val="000000"/>
          <w:sz w:val="24"/>
          <w:szCs w:val="24"/>
          <w:lang w:eastAsia="ru-RU"/>
        </w:rPr>
        <w:t xml:space="preserve"> </w:t>
      </w:r>
      <w:r w:rsidR="004D2084">
        <w:rPr>
          <w:rFonts w:ascii="Arial" w:eastAsia="Times New Roman" w:hAnsi="Arial" w:cs="Arial"/>
          <w:color w:val="000000"/>
          <w:sz w:val="24"/>
          <w:szCs w:val="24"/>
          <w:lang w:eastAsia="ru-RU"/>
        </w:rPr>
        <w:t>сельского поселения</w:t>
      </w:r>
      <w:r>
        <w:rPr>
          <w:rFonts w:ascii="Arial" w:eastAsia="Times New Roman" w:hAnsi="Arial" w:cs="Arial"/>
          <w:color w:val="000000"/>
          <w:sz w:val="24"/>
          <w:szCs w:val="24"/>
          <w:lang w:eastAsia="ru-RU"/>
        </w:rPr>
        <w:t>,</w:t>
      </w:r>
      <w:r w:rsidR="004D2084">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4D2084" w:rsidRDefault="00FE3CB9" w:rsidP="00FE3CB9">
      <w:pPr>
        <w:spacing w:after="0" w:line="240" w:lineRule="auto"/>
        <w:jc w:val="center"/>
        <w:rPr>
          <w:rFonts w:ascii="Arial" w:eastAsia="Times New Roman" w:hAnsi="Arial" w:cs="Arial"/>
          <w:b/>
          <w:color w:val="000000"/>
          <w:sz w:val="30"/>
          <w:szCs w:val="30"/>
          <w:lang w:eastAsia="ru-RU"/>
        </w:rPr>
      </w:pPr>
      <w:r w:rsidRPr="004D2084">
        <w:rPr>
          <w:rFonts w:ascii="Arial" w:eastAsia="Times New Roman" w:hAnsi="Arial" w:cs="Arial"/>
          <w:b/>
          <w:color w:val="000000"/>
          <w:sz w:val="30"/>
          <w:szCs w:val="30"/>
          <w:lang w:eastAsia="ru-RU"/>
        </w:rPr>
        <w:t>ПОСТАНОВЛЯЕТ:</w:t>
      </w:r>
    </w:p>
    <w:p w:rsidR="00FE3CB9" w:rsidRPr="00FE3CB9" w:rsidRDefault="00FE3CB9" w:rsidP="00FE3CB9">
      <w:pPr>
        <w:spacing w:after="0" w:line="240" w:lineRule="auto"/>
        <w:jc w:val="both"/>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Pr="00FE3CB9">
        <w:rPr>
          <w:rFonts w:ascii="Arial" w:eastAsia="Times New Roman" w:hAnsi="Arial" w:cs="Arial"/>
          <w:color w:val="000000"/>
          <w:sz w:val="24"/>
          <w:szCs w:val="24"/>
          <w:lang w:eastAsia="ru-RU"/>
        </w:rPr>
        <w:t xml:space="preserve"> и в дорожном хозяйстве в границах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на 2022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 xml:space="preserve">ского муниципального образования и размещению на официальном сайте администрации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ского сельского поселения в сети «Интернет».</w:t>
      </w:r>
    </w:p>
    <w:p w:rsidR="004D2084"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3. Постановление вступает в силу после его официального опубликования и распространяет свое действие на правоотношения, возникающие с 01.01.2022, </w:t>
      </w:r>
      <w:proofErr w:type="gramStart"/>
      <w:r w:rsidRPr="00207349">
        <w:rPr>
          <w:rFonts w:ascii="Arial" w:eastAsia="Times New Roman" w:hAnsi="Arial" w:cs="Arial"/>
          <w:color w:val="000000"/>
          <w:sz w:val="24"/>
          <w:szCs w:val="24"/>
          <w:lang w:eastAsia="ru-RU"/>
        </w:rPr>
        <w:t>в</w:t>
      </w:r>
      <w:proofErr w:type="gramEnd"/>
      <w:r w:rsidRPr="00207349">
        <w:rPr>
          <w:rFonts w:ascii="Arial" w:eastAsia="Times New Roman" w:hAnsi="Arial" w:cs="Arial"/>
          <w:color w:val="000000"/>
          <w:sz w:val="24"/>
          <w:szCs w:val="24"/>
          <w:lang w:eastAsia="ru-RU"/>
        </w:rPr>
        <w:t xml:space="preserve"> </w:t>
      </w: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FE3CB9" w:rsidRDefault="00207349" w:rsidP="004D2084">
      <w:pPr>
        <w:spacing w:after="0" w:line="240" w:lineRule="auto"/>
        <w:jc w:val="both"/>
        <w:rPr>
          <w:rFonts w:ascii="Arial" w:eastAsia="Times New Roman" w:hAnsi="Arial" w:cs="Arial"/>
          <w:color w:val="000000"/>
          <w:sz w:val="24"/>
          <w:szCs w:val="24"/>
          <w:lang w:eastAsia="ru-RU"/>
        </w:rPr>
      </w:pPr>
      <w:proofErr w:type="gramStart"/>
      <w:r w:rsidRPr="00207349">
        <w:rPr>
          <w:rFonts w:ascii="Arial" w:eastAsia="Times New Roman" w:hAnsi="Arial" w:cs="Arial"/>
          <w:color w:val="000000"/>
          <w:sz w:val="24"/>
          <w:szCs w:val="24"/>
          <w:lang w:eastAsia="ru-RU"/>
        </w:rPr>
        <w:lastRenderedPageBreak/>
        <w:t>соответствии</w:t>
      </w:r>
      <w:proofErr w:type="gramEnd"/>
      <w:r w:rsidRPr="00207349">
        <w:rPr>
          <w:rFonts w:ascii="Arial" w:eastAsia="Times New Roman" w:hAnsi="Arial" w:cs="Arial"/>
          <w:color w:val="000000"/>
          <w:sz w:val="24"/>
          <w:szCs w:val="24"/>
          <w:lang w:eastAsia="ru-RU"/>
        </w:rPr>
        <w:t xml:space="preserve"> с Федеральным законом от 31.07.2020 № 248-ФЗ «О государственном контроле (надзоре) и муниципальном контроле в Российской Федерации».</w:t>
      </w:r>
    </w:p>
    <w:p w:rsidR="00207349" w:rsidRDefault="00207349" w:rsidP="0020734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sidRPr="00207349">
        <w:rPr>
          <w:rFonts w:ascii="Arial" w:eastAsia="Times New Roman" w:hAnsi="Arial" w:cs="Arial"/>
          <w:b/>
          <w:color w:val="000000"/>
          <w:sz w:val="24"/>
          <w:szCs w:val="24"/>
          <w:lang w:eastAsia="ru-RU"/>
        </w:rPr>
        <w:t xml:space="preserve">Глава </w:t>
      </w:r>
      <w:r w:rsidR="00487EA5">
        <w:rPr>
          <w:rFonts w:ascii="Arial" w:eastAsia="Times New Roman" w:hAnsi="Arial" w:cs="Arial"/>
          <w:b/>
          <w:color w:val="000000"/>
          <w:sz w:val="24"/>
          <w:szCs w:val="24"/>
          <w:lang w:eastAsia="ru-RU"/>
        </w:rPr>
        <w:t>Калтук</w:t>
      </w:r>
      <w:r w:rsidRPr="00207349">
        <w:rPr>
          <w:rFonts w:ascii="Arial" w:eastAsia="Times New Roman" w:hAnsi="Arial" w:cs="Arial"/>
          <w:b/>
          <w:color w:val="000000"/>
          <w:sz w:val="24"/>
          <w:szCs w:val="24"/>
          <w:lang w:eastAsia="ru-RU"/>
        </w:rPr>
        <w:t>ского</w:t>
      </w:r>
    </w:p>
    <w:p w:rsidR="00487EA5" w:rsidRDefault="004D2084" w:rsidP="00487EA5">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муниципального образования</w:t>
      </w:r>
    </w:p>
    <w:p w:rsidR="00FE3CB9" w:rsidRPr="00FE3CB9" w:rsidRDefault="00487EA5" w:rsidP="00487EA5">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Большешапов П.Ю.</w:t>
      </w: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Pr="00FE3CB9" w:rsidRDefault="004D2084" w:rsidP="00FE3CB9">
      <w:pPr>
        <w:spacing w:after="0" w:line="240" w:lineRule="auto"/>
        <w:ind w:firstLine="709"/>
        <w:jc w:val="both"/>
        <w:rPr>
          <w:rFonts w:ascii="Arial" w:eastAsia="Times New Roman" w:hAnsi="Arial" w:cs="Arial"/>
          <w:color w:val="000000"/>
          <w:sz w:val="24"/>
          <w:szCs w:val="24"/>
          <w:lang w:eastAsia="ru-RU"/>
        </w:rPr>
      </w:pP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Утверждена</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постановлением администрации </w:t>
      </w:r>
    </w:p>
    <w:p w:rsidR="00207349" w:rsidRDefault="00487EA5" w:rsidP="004D208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Калтук</w:t>
      </w:r>
      <w:r w:rsidR="00207349">
        <w:rPr>
          <w:rFonts w:ascii="Courier New" w:eastAsia="Times New Roman" w:hAnsi="Courier New" w:cs="Courier New"/>
          <w:color w:val="000000"/>
          <w:lang w:eastAsia="ru-RU"/>
        </w:rPr>
        <w:t xml:space="preserve">ского </w:t>
      </w:r>
      <w:r w:rsidR="004D2084">
        <w:rPr>
          <w:rFonts w:ascii="Courier New" w:eastAsia="Times New Roman" w:hAnsi="Courier New" w:cs="Courier New"/>
          <w:color w:val="000000"/>
          <w:lang w:eastAsia="ru-RU"/>
        </w:rPr>
        <w:t>сельского поселения</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от </w:t>
      </w:r>
      <w:r w:rsidR="004D2084">
        <w:rPr>
          <w:rFonts w:ascii="Courier New" w:eastAsia="Times New Roman" w:hAnsi="Courier New" w:cs="Courier New"/>
          <w:color w:val="000000"/>
          <w:lang w:eastAsia="ru-RU"/>
        </w:rPr>
        <w:t xml:space="preserve">06.09.2022 г. </w:t>
      </w:r>
      <w:r>
        <w:rPr>
          <w:rFonts w:ascii="Courier New" w:eastAsia="Times New Roman" w:hAnsi="Courier New" w:cs="Courier New"/>
          <w:color w:val="000000"/>
          <w:lang w:eastAsia="ru-RU"/>
        </w:rPr>
        <w:t xml:space="preserve">№ </w:t>
      </w:r>
      <w:r w:rsidR="004D2084">
        <w:rPr>
          <w:rFonts w:ascii="Courier New" w:eastAsia="Times New Roman" w:hAnsi="Courier New" w:cs="Courier New"/>
          <w:color w:val="000000"/>
          <w:lang w:eastAsia="ru-RU"/>
        </w:rPr>
        <w:t>41</w:t>
      </w:r>
    </w:p>
    <w:p w:rsidR="00FE3CB9" w:rsidRPr="00207349" w:rsidRDefault="00FE3CB9" w:rsidP="00207349">
      <w:pPr>
        <w:spacing w:after="0" w:line="240" w:lineRule="auto"/>
        <w:jc w:val="right"/>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Программа профилактики рисков причинения вреда (ущерба) охраняемым законом ценностей в рамках муниципального контро</w:t>
      </w:r>
      <w:r w:rsidR="00297064">
        <w:rPr>
          <w:rFonts w:ascii="Arial" w:eastAsia="Times New Roman" w:hAnsi="Arial" w:cs="Arial"/>
          <w:b/>
          <w:bCs/>
          <w:color w:val="000000"/>
          <w:sz w:val="24"/>
          <w:szCs w:val="24"/>
          <w:lang w:eastAsia="ru-RU"/>
        </w:rPr>
        <w:t xml:space="preserve">ля на автомобильном транспорте </w:t>
      </w:r>
      <w:r w:rsidRPr="00207349">
        <w:rPr>
          <w:rFonts w:ascii="Arial" w:eastAsia="Times New Roman" w:hAnsi="Arial" w:cs="Arial"/>
          <w:b/>
          <w:bCs/>
          <w:color w:val="000000"/>
          <w:sz w:val="24"/>
          <w:szCs w:val="24"/>
          <w:lang w:eastAsia="ru-RU"/>
        </w:rPr>
        <w:t xml:space="preserve">и в дорожном хозяйстве в границах </w:t>
      </w:r>
      <w:r w:rsidR="00487EA5">
        <w:rPr>
          <w:rFonts w:ascii="Arial" w:eastAsia="Times New Roman" w:hAnsi="Arial" w:cs="Arial"/>
          <w:b/>
          <w:bCs/>
          <w:color w:val="000000"/>
          <w:sz w:val="24"/>
          <w:szCs w:val="24"/>
          <w:lang w:eastAsia="ru-RU"/>
        </w:rPr>
        <w:t>Калтук</w:t>
      </w:r>
      <w:r w:rsidR="00207349">
        <w:rPr>
          <w:rFonts w:ascii="Arial" w:eastAsia="Times New Roman" w:hAnsi="Arial" w:cs="Arial"/>
          <w:b/>
          <w:bCs/>
          <w:color w:val="000000"/>
          <w:sz w:val="24"/>
          <w:szCs w:val="24"/>
          <w:lang w:eastAsia="ru-RU"/>
        </w:rPr>
        <w:t xml:space="preserve">ского </w:t>
      </w:r>
      <w:r w:rsidRPr="00207349">
        <w:rPr>
          <w:rFonts w:ascii="Arial" w:eastAsia="Times New Roman" w:hAnsi="Arial" w:cs="Arial"/>
          <w:b/>
          <w:bCs/>
          <w:color w:val="000000"/>
          <w:sz w:val="24"/>
          <w:szCs w:val="24"/>
          <w:lang w:eastAsia="ru-RU"/>
        </w:rPr>
        <w:t xml:space="preserve">муниципального образования </w:t>
      </w:r>
      <w:r w:rsidR="00207349" w:rsidRPr="00207349">
        <w:rPr>
          <w:rFonts w:ascii="Arial" w:eastAsia="Times New Roman" w:hAnsi="Arial" w:cs="Arial"/>
          <w:b/>
          <w:bCs/>
          <w:color w:val="000000"/>
          <w:sz w:val="24"/>
          <w:szCs w:val="24"/>
          <w:lang w:eastAsia="ru-RU"/>
        </w:rPr>
        <w:t xml:space="preserve">на 2022 год </w:t>
      </w:r>
    </w:p>
    <w:p w:rsidR="00FE3CB9" w:rsidRPr="00207349" w:rsidRDefault="00FE3CB9" w:rsidP="00FE3CB9">
      <w:pPr>
        <w:spacing w:after="0" w:line="240" w:lineRule="auto"/>
        <w:jc w:val="both"/>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w:t>
      </w:r>
    </w:p>
    <w:p w:rsidR="00FE3CB9" w:rsidRDefault="00FE3CB9" w:rsidP="00FE3CB9">
      <w:pPr>
        <w:spacing w:after="0" w:line="240" w:lineRule="auto"/>
        <w:jc w:val="center"/>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07349" w:rsidRPr="00207349" w:rsidRDefault="00207349" w:rsidP="00FE3CB9">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 xml:space="preserve">муниципального образования (далее – контрольный орган) в соответствии с Положением о муниципальном контроле в границах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муниципального образования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w:t>
      </w:r>
      <w:proofErr w:type="gramStart"/>
      <w:r w:rsidRPr="00FE3CB9">
        <w:rPr>
          <w:rFonts w:ascii="Arial" w:eastAsia="Times New Roman" w:hAnsi="Arial" w:cs="Arial"/>
          <w:color w:val="000000"/>
          <w:sz w:val="24"/>
          <w:szCs w:val="24"/>
          <w:lang w:eastAsia="ru-RU"/>
        </w:rPr>
        <w:t>за</w:t>
      </w:r>
      <w:proofErr w:type="gramEnd"/>
      <w:r w:rsidRPr="00FE3CB9">
        <w:rPr>
          <w:rFonts w:ascii="Arial" w:eastAsia="Times New Roman" w:hAnsi="Arial" w:cs="Arial"/>
          <w:color w:val="000000"/>
          <w:sz w:val="24"/>
          <w:szCs w:val="24"/>
          <w:lang w:eastAsia="ru-RU"/>
        </w:rPr>
        <w:t>:</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w:t>
      </w:r>
      <w:bookmarkStart w:id="0" w:name="_Hlk77676821"/>
      <w:bookmarkEnd w:id="0"/>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w:t>
      </w:r>
      <w:r w:rsidR="004D2084">
        <w:rPr>
          <w:rFonts w:ascii="Arial" w:eastAsia="Times New Roman" w:hAnsi="Arial" w:cs="Arial"/>
          <w:color w:val="000000"/>
          <w:sz w:val="24"/>
          <w:szCs w:val="24"/>
          <w:lang w:eastAsia="ru-RU"/>
        </w:rPr>
        <w:t xml:space="preserve">мках пункта 1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б) в ра</w:t>
      </w:r>
      <w:r w:rsidR="004D2084">
        <w:rPr>
          <w:rFonts w:ascii="Arial" w:eastAsia="Times New Roman" w:hAnsi="Arial" w:cs="Arial"/>
          <w:color w:val="000000"/>
          <w:sz w:val="24"/>
          <w:szCs w:val="24"/>
          <w:lang w:eastAsia="ru-RU"/>
        </w:rPr>
        <w:t xml:space="preserve">мках пункта 2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bookmarkStart w:id="1" w:name="_Hlk77675416"/>
      <w:bookmarkEnd w:id="1"/>
      <w:r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в) в рамках пункта 3 части </w:t>
      </w:r>
      <w:r w:rsidR="004D2084">
        <w:rPr>
          <w:rFonts w:ascii="Arial" w:eastAsia="Times New Roman" w:hAnsi="Arial" w:cs="Arial"/>
          <w:color w:val="000000"/>
          <w:sz w:val="24"/>
          <w:szCs w:val="24"/>
          <w:lang w:eastAsia="ru-RU"/>
        </w:rPr>
        <w:t xml:space="preserve">1 статьи 16 Федерального закона </w:t>
      </w:r>
      <w:r w:rsidRPr="0020734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придорожные полосы и полосы </w:t>
      </w:r>
      <w:proofErr w:type="gramStart"/>
      <w:r w:rsidRPr="00FE3CB9">
        <w:rPr>
          <w:rFonts w:ascii="Arial" w:eastAsia="Times New Roman" w:hAnsi="Arial" w:cs="Arial"/>
          <w:color w:val="000000"/>
          <w:sz w:val="24"/>
          <w:szCs w:val="24"/>
          <w:lang w:eastAsia="ru-RU"/>
        </w:rPr>
        <w:t>отвода</w:t>
      </w:r>
      <w:proofErr w:type="gramEnd"/>
      <w:r w:rsidRPr="00FE3CB9">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4D2084" w:rsidP="00FE3CB9">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Раздел II. </w:t>
      </w:r>
      <w:r w:rsidR="00FE3CB9" w:rsidRPr="00207349">
        <w:rPr>
          <w:rFonts w:ascii="Arial" w:eastAsia="Times New Roman" w:hAnsi="Arial" w:cs="Arial"/>
          <w:b/>
          <w:bCs/>
          <w:color w:val="000000"/>
          <w:sz w:val="24"/>
          <w:szCs w:val="24"/>
          <w:lang w:eastAsia="ru-RU"/>
        </w:rPr>
        <w:t xml:space="preserve">Цели и задачи </w:t>
      </w:r>
      <w:proofErr w:type="gramStart"/>
      <w:r w:rsidR="00FE3CB9" w:rsidRPr="00207349">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207349" w:rsidRPr="00207349" w:rsidRDefault="00207349" w:rsidP="00FE3CB9">
      <w:pPr>
        <w:spacing w:after="0" w:line="240" w:lineRule="auto"/>
        <w:ind w:firstLine="709"/>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профилактических мероприятий на 2022 год.</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Pr="00207349" w:rsidRDefault="004D2084" w:rsidP="0020734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Раздел III. </w:t>
      </w:r>
      <w:r w:rsidR="00FE3CB9" w:rsidRPr="00207349">
        <w:rPr>
          <w:rFonts w:ascii="Arial" w:eastAsia="Times New Roman" w:hAnsi="Arial" w:cs="Arial"/>
          <w:b/>
          <w:bCs/>
          <w:color w:val="000000"/>
          <w:sz w:val="24"/>
          <w:szCs w:val="24"/>
          <w:lang w:eastAsia="ru-RU"/>
        </w:rPr>
        <w:t>Перечень профилактических мероприятий, сроки (периодичность) их проведения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профилактических мероприятий Программы на 2022 год приведен в таблице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firstRow="1" w:lastRow="0" w:firstColumn="1" w:lastColumn="0" w:noHBand="0" w:noVBand="1"/>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xml:space="preserve">№ </w:t>
            </w:r>
            <w:proofErr w:type="gramStart"/>
            <w:r w:rsidRPr="00FE3CB9">
              <w:rPr>
                <w:rFonts w:ascii="Courier" w:eastAsia="Times New Roman" w:hAnsi="Courier" w:cs="Arial"/>
                <w:lang w:eastAsia="ru-RU"/>
              </w:rPr>
              <w:t>п</w:t>
            </w:r>
            <w:proofErr w:type="gramEnd"/>
            <w:r w:rsidRPr="00FE3CB9">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D208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4D2084" w:rsidRPr="004D2084">
              <w:rPr>
                <w:rFonts w:ascii="Courier New" w:eastAsia="Times New Roman" w:hAnsi="Courier New" w:cs="Courier New"/>
                <w:lang w:eastAsia="ru-RU"/>
              </w:rPr>
              <w:t>Калтукского сельского поселения</w:t>
            </w:r>
            <w:r w:rsidRPr="004D2084">
              <w:rPr>
                <w:rFonts w:ascii="Courier New" w:eastAsia="Times New Roman" w:hAnsi="Courier New" w:cs="Courier New"/>
                <w:lang w:eastAsia="ru-RU"/>
              </w:rPr>
              <w:t xml:space="preserve"> </w:t>
            </w:r>
            <w:r w:rsidRPr="00FE3CB9">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тексты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w:t>
            </w:r>
            <w:r w:rsidR="004D2084">
              <w:rPr>
                <w:rFonts w:ascii="Courier" w:eastAsia="Times New Roman" w:hAnsi="Courier" w:cs="Arial"/>
                <w:lang w:eastAsia="ru-RU"/>
              </w:rPr>
              <w:t xml:space="preserve"> и в дорожном хозяйстве,</w:t>
            </w:r>
            <w:r w:rsidR="004D2084">
              <w:rPr>
                <w:rFonts w:eastAsia="Times New Roman" w:cs="Arial"/>
                <w:lang w:eastAsia="ru-RU"/>
              </w:rPr>
              <w:t xml:space="preserve"> </w:t>
            </w:r>
            <w:r w:rsidRPr="00FE3CB9">
              <w:rPr>
                <w:rFonts w:ascii="Courier" w:eastAsia="Times New Roman" w:hAnsi="Courier" w:cs="Arial"/>
                <w:lang w:eastAsia="ru-RU"/>
              </w:rPr>
              <w:t>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перечень нормативных правовых актов с указанием структурных единиц этих актов, содержащих обязательные требования, </w:t>
            </w:r>
            <w:r w:rsidRPr="00FE3CB9">
              <w:rPr>
                <w:rFonts w:ascii="Courier" w:eastAsia="Times New Roman" w:hAnsi="Courier" w:cs="Arial"/>
                <w:lang w:eastAsia="ru-RU"/>
              </w:rPr>
              <w:lastRenderedPageBreak/>
              <w:t>оце</w:t>
            </w:r>
            <w:r w:rsidR="004D2084">
              <w:rPr>
                <w:rFonts w:ascii="Courier" w:eastAsia="Times New Roman" w:hAnsi="Courier" w:cs="Arial"/>
                <w:lang w:eastAsia="ru-RU"/>
              </w:rPr>
              <w:t>нка соблюдения которых является</w:t>
            </w:r>
            <w:r w:rsidR="004D2084">
              <w:rPr>
                <w:rFonts w:eastAsia="Times New Roman" w:cs="Arial"/>
                <w:lang w:eastAsia="ru-RU"/>
              </w:rPr>
              <w:t xml:space="preserve"> </w:t>
            </w:r>
            <w:r w:rsidRPr="00FE3CB9">
              <w:rPr>
                <w:rFonts w:ascii="Courier" w:eastAsia="Times New Roman" w:hAnsi="Courier" w:cs="Arial"/>
                <w:lang w:eastAsia="ru-RU"/>
              </w:rPr>
              <w:t>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поддерживать в актуальном 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муниципальный </w:t>
            </w:r>
            <w:r w:rsidRPr="00FE3CB9">
              <w:rPr>
                <w:rFonts w:ascii="Courier" w:eastAsia="Times New Roman" w:hAnsi="Courier" w:cs="Arial"/>
                <w:lang w:eastAsia="ru-RU"/>
              </w:rPr>
              <w:lastRenderedPageBreak/>
              <w:t>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доклада (не позднее 15 марта 2022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 xml:space="preserve">Должностные лица </w:t>
            </w:r>
            <w:r w:rsidR="004D2084">
              <w:rPr>
                <w:rFonts w:ascii="Courier" w:eastAsia="Times New Roman" w:hAnsi="Courier" w:cs="Arial"/>
                <w:lang w:eastAsia="ru-RU"/>
              </w:rPr>
              <w:t>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w:t>
            </w:r>
            <w:r w:rsidR="004D2084">
              <w:rPr>
                <w:rFonts w:ascii="Courier" w:eastAsia="Times New Roman" w:hAnsi="Courier" w:cs="Arial"/>
                <w:lang w:eastAsia="ru-RU"/>
              </w:rPr>
              <w:t>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9D72CF">
              <w:rPr>
                <w:rFonts w:eastAsia="Times New Roman" w:cs="Arial"/>
                <w:lang w:eastAsia="ru-RU"/>
              </w:rPr>
              <w:t xml:space="preserve"> </w:t>
            </w:r>
            <w:r w:rsidR="00487EA5">
              <w:rPr>
                <w:rFonts w:eastAsia="Times New Roman" w:cs="Arial"/>
                <w:lang w:eastAsia="ru-RU"/>
              </w:rPr>
              <w:t xml:space="preserve"> Калтукского</w:t>
            </w:r>
            <w:r w:rsidR="009D72CF">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3.</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соответствии с российским законодательством</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Консультирование должностным лицом контрольного (надзорного) органа (по телефону, посредством видео-конференц-связи, на личном приеме </w:t>
            </w:r>
            <w:r w:rsidR="004D2084">
              <w:rPr>
                <w:rFonts w:ascii="Courier" w:eastAsia="Times New Roman" w:hAnsi="Courier" w:cs="Arial"/>
                <w:lang w:eastAsia="ru-RU"/>
              </w:rPr>
              <w:t>либо в ходе проведения</w:t>
            </w:r>
            <w:r w:rsidR="004D2084">
              <w:rPr>
                <w:rFonts w:eastAsia="Times New Roman" w:cs="Arial"/>
                <w:lang w:eastAsia="ru-RU"/>
              </w:rPr>
              <w:t xml:space="preserve"> </w:t>
            </w:r>
            <w:r w:rsidRPr="00FE3CB9">
              <w:rPr>
                <w:rFonts w:ascii="Courier" w:eastAsia="Times New Roman" w:hAnsi="Courier" w:cs="Arial"/>
                <w:lang w:eastAsia="ru-RU"/>
              </w:rPr>
              <w:t>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w:t>
            </w:r>
            <w:r w:rsidRPr="00FE3CB9">
              <w:rPr>
                <w:rFonts w:ascii="Courier" w:eastAsia="Times New Roman" w:hAnsi="Courier" w:cs="Arial"/>
                <w:lang w:eastAsia="ru-RU"/>
              </w:rPr>
              <w:lastRenderedPageBreak/>
              <w:t xml:space="preserve">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 в отношении 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 обращениям контролируемых лиц и их представителей, поступившим 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5.</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w:t>
            </w:r>
            <w:r w:rsidR="004D2084">
              <w:rPr>
                <w:rFonts w:eastAsia="Times New Roman" w:cs="Arial"/>
                <w:lang w:eastAsia="ru-RU"/>
              </w:rPr>
              <w:t xml:space="preserve">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6.</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487EA5" w:rsidRPr="004D2084">
              <w:rPr>
                <w:rFonts w:ascii="Courier New" w:eastAsia="Times New Roman" w:hAnsi="Courier New" w:cs="Courier New"/>
                <w:lang w:eastAsia="ru-RU"/>
              </w:rPr>
              <w:t>Калтукского</w:t>
            </w:r>
            <w:r w:rsidR="004D2084">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9026DA">
              <w:rPr>
                <w:rFonts w:eastAsia="Times New Roman" w:cs="Arial"/>
                <w:lang w:eastAsia="ru-RU"/>
              </w:rPr>
              <w:t>3</w:t>
            </w:r>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 квартал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bookmarkStart w:id="2" w:name="_GoBack"/>
      <w:bookmarkEnd w:id="2"/>
    </w:p>
    <w:p w:rsidR="00FE3CB9" w:rsidRDefault="00FE3CB9" w:rsidP="009D72CF">
      <w:pPr>
        <w:spacing w:after="0" w:line="240" w:lineRule="auto"/>
        <w:jc w:val="center"/>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9D72CF">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9D72CF" w:rsidRPr="009D72CF" w:rsidRDefault="009D72CF" w:rsidP="009D72CF">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9D72CF">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Увеличение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5"/>
    <w:rsid w:val="00000F45"/>
    <w:rsid w:val="00207349"/>
    <w:rsid w:val="00297064"/>
    <w:rsid w:val="00406869"/>
    <w:rsid w:val="00487EA5"/>
    <w:rsid w:val="004929FA"/>
    <w:rsid w:val="004D2084"/>
    <w:rsid w:val="007D0EAC"/>
    <w:rsid w:val="009026DA"/>
    <w:rsid w:val="00980C0C"/>
    <w:rsid w:val="009833F8"/>
    <w:rsid w:val="009D72CF"/>
    <w:rsid w:val="00FE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cp:lastModifiedBy>
  <cp:revision>9</cp:revision>
  <dcterms:created xsi:type="dcterms:W3CDTF">2022-08-05T04:02:00Z</dcterms:created>
  <dcterms:modified xsi:type="dcterms:W3CDTF">2022-09-06T11:32:00Z</dcterms:modified>
</cp:coreProperties>
</file>